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b/>
          <w:sz w:val="28"/>
          <w:szCs w:val="30"/>
        </w:rPr>
        <w:t>【音乐鉴赏】</w:t>
      </w:r>
    </w:p>
    <w:p>
      <w:pPr>
        <w:shd w:val="clear" w:color="auto" w:fill="F5F5F5"/>
        <w:jc w:val="center"/>
        <w:textAlignment w:val="top"/>
        <w:rPr>
          <w:rFonts w:ascii="Arial" w:hAnsi="Arial" w:cs="Arial"/>
          <w:color w:val="888888"/>
          <w:kern w:val="0"/>
          <w:sz w:val="20"/>
          <w:szCs w:val="20"/>
        </w:rPr>
      </w:pPr>
      <w:r>
        <w:rPr>
          <w:rFonts w:hint="eastAsia"/>
          <w:b/>
          <w:sz w:val="28"/>
          <w:szCs w:val="30"/>
        </w:rPr>
        <w:t>【Music Appreciation】</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2030268</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32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新媒体B1</w:t>
      </w:r>
      <w:r>
        <w:rPr>
          <w:rFonts w:hint="default"/>
          <w:color w:val="000000"/>
          <w:sz w:val="20"/>
          <w:szCs w:val="20"/>
        </w:rPr>
        <w:t>9</w:t>
      </w:r>
      <w:r>
        <w:rPr>
          <w:rFonts w:hint="eastAsia"/>
          <w:color w:val="000000"/>
          <w:sz w:val="20"/>
          <w:szCs w:val="20"/>
        </w:rPr>
        <w:t>-1</w:t>
      </w:r>
      <w:r>
        <w:rPr>
          <w:rFonts w:hint="eastAsia"/>
          <w:color w:val="000000"/>
          <w:sz w:val="20"/>
          <w:szCs w:val="20"/>
          <w:lang w:eastAsia="zh-Hans"/>
        </w:rPr>
        <w:t>、</w:t>
      </w:r>
      <w:r>
        <w:rPr>
          <w:rFonts w:hint="eastAsia"/>
          <w:color w:val="000000"/>
          <w:sz w:val="20"/>
          <w:szCs w:val="20"/>
        </w:rPr>
        <w:t>B1</w:t>
      </w:r>
      <w:r>
        <w:rPr>
          <w:rFonts w:hint="default"/>
          <w:color w:val="000000"/>
          <w:sz w:val="20"/>
          <w:szCs w:val="20"/>
        </w:rPr>
        <w:t>9</w:t>
      </w:r>
      <w:r>
        <w:rPr>
          <w:rFonts w:hint="eastAsia"/>
          <w:color w:val="000000"/>
          <w:sz w:val="20"/>
          <w:szCs w:val="20"/>
        </w:rPr>
        <w:t>-</w:t>
      </w:r>
      <w:r>
        <w:rPr>
          <w:rFonts w:hint="default"/>
          <w:color w:val="000000"/>
          <w:sz w:val="20"/>
          <w:szCs w:val="20"/>
        </w:rPr>
        <w:t>2</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r>
        <w:rPr>
          <w:rFonts w:hint="eastAsia"/>
          <w:b/>
          <w:bCs/>
          <w:color w:val="000000"/>
          <w:sz w:val="20"/>
          <w:szCs w:val="20"/>
        </w:rPr>
        <w:t>自编教材</w:t>
      </w:r>
    </w:p>
    <w:p>
      <w:pPr>
        <w:snapToGrid w:val="0"/>
        <w:spacing w:line="288" w:lineRule="auto"/>
        <w:ind w:firstLine="792" w:firstLineChars="396"/>
        <w:rPr>
          <w:color w:val="000000"/>
          <w:sz w:val="18"/>
          <w:szCs w:val="18"/>
        </w:rPr>
      </w:pPr>
      <w:r>
        <w:rPr>
          <w:color w:val="000000"/>
          <w:sz w:val="20"/>
          <w:szCs w:val="20"/>
        </w:rPr>
        <w:t>教材【书名作者出版社版本信息】</w:t>
      </w:r>
    </w:p>
    <w:p>
      <w:pPr>
        <w:snapToGrid w:val="0"/>
        <w:spacing w:line="288" w:lineRule="auto"/>
        <w:ind w:left="718" w:leftChars="342" w:firstLine="90" w:firstLineChars="50"/>
        <w:rPr>
          <w:color w:val="000000"/>
          <w:sz w:val="18"/>
          <w:szCs w:val="18"/>
        </w:rPr>
      </w:pPr>
      <w:r>
        <w:rPr>
          <w:color w:val="000000"/>
          <w:sz w:val="18"/>
          <w:szCs w:val="18"/>
        </w:rPr>
        <w:t>参考</w:t>
      </w:r>
      <w:r>
        <w:rPr>
          <w:rFonts w:hint="eastAsia"/>
          <w:color w:val="000000"/>
          <w:sz w:val="18"/>
          <w:szCs w:val="18"/>
        </w:rPr>
        <w:t>书目</w:t>
      </w:r>
      <w:r>
        <w:rPr>
          <w:color w:val="000000"/>
          <w:sz w:val="18"/>
          <w:szCs w:val="18"/>
        </w:rPr>
        <w:t>【</w:t>
      </w:r>
      <w:r>
        <w:rPr>
          <w:rFonts w:hint="eastAsia"/>
          <w:color w:val="000000"/>
          <w:sz w:val="18"/>
          <w:szCs w:val="18"/>
        </w:rPr>
        <w:t>《认识艺术》马克·盖特雷恩，</w:t>
      </w:r>
      <w:r>
        <w:rPr>
          <w:rFonts w:ascii="Helvetica" w:hAnsi="Helvetica" w:cs="Helvetica" w:eastAsiaTheme="minorEastAsia"/>
          <w:color w:val="0E0E0E"/>
          <w:kern w:val="0"/>
          <w:sz w:val="18"/>
          <w:szCs w:val="18"/>
        </w:rPr>
        <w:t>世界图书出版公司·后浪出版公司</w:t>
      </w:r>
      <w:r>
        <w:rPr>
          <w:rFonts w:hint="eastAsia" w:ascii="Helvetica" w:hAnsi="Helvetica" w:cs="Helvetica" w:eastAsiaTheme="minorEastAsia"/>
          <w:color w:val="0E0E0E"/>
          <w:kern w:val="0"/>
          <w:sz w:val="18"/>
          <w:szCs w:val="18"/>
        </w:rPr>
        <w:t>；《</w:t>
      </w:r>
      <w:r>
        <w:rPr>
          <w:rFonts w:ascii="Helvetica" w:hAnsi="Helvetica" w:cs="Helvetica" w:eastAsiaTheme="minorEastAsia"/>
          <w:b/>
          <w:bCs/>
          <w:color w:val="393939"/>
          <w:kern w:val="0"/>
          <w:sz w:val="18"/>
          <w:szCs w:val="18"/>
        </w:rPr>
        <w:t>中西方音乐通史提要</w:t>
      </w:r>
      <w:r>
        <w:rPr>
          <w:rFonts w:hint="eastAsia" w:ascii="Helvetica" w:hAnsi="Helvetica" w:cs="Helvetica" w:eastAsiaTheme="minorEastAsia"/>
          <w:color w:val="0E0E0E"/>
          <w:kern w:val="0"/>
          <w:sz w:val="18"/>
          <w:szCs w:val="18"/>
        </w:rPr>
        <w:t>》，田克文，中国地质大学出版社出版；《艺术概论》，王宏建，</w:t>
      </w:r>
      <w:r>
        <w:rPr>
          <w:rFonts w:ascii="Helvetica" w:hAnsi="Helvetica" w:cs="Helvetica" w:eastAsiaTheme="minorEastAsia"/>
          <w:color w:val="0E0E0E"/>
          <w:kern w:val="0"/>
          <w:sz w:val="18"/>
          <w:szCs w:val="18"/>
        </w:rPr>
        <w:t>文化艺术出版社</w:t>
      </w:r>
      <w:r>
        <w:rPr>
          <w:color w:val="000000"/>
          <w:sz w:val="18"/>
          <w:szCs w:val="18"/>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rPr>
      </w:pPr>
      <w:r>
        <w:rPr>
          <w:color w:val="000000"/>
          <w:sz w:val="20"/>
          <w:szCs w:val="20"/>
        </w:rPr>
        <w:t>https://elearning.gench.edu.cn:8443/webapps/blackboard/content/listContentEditable.jsp?content_id=_90598_1&amp;course_id=_14356_1&amp;mode=reset</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音乐鉴赏这一门课程通过音乐聆听与视频、绘画等艺术的结合，教会学生学习聆听艺术的方法，使大家能够被听觉与视觉等艺术表现力所征服。大家可以通过该门课讲聆听与视觉艺术相遇，并在学习艺术鉴赏这门课的的同时也了解到一定艺术的历史，例如音乐史等。在许多的艺术鉴赏课程中，学生都是被要求学习一些音乐技术方面的东西（例如什么是主和弦）和一些特定的事实（例如贝多芬写了几首交响曲），而不是主动的。但是，这学期的艺术鉴赏是完全不同的。学生在这里被鼓励，实际上是被要求通过书里书外的各种手段，在与听觉艺术的对话中成为一个主动的参与者。并将其听觉与自身的广告专业知识结合，通过积累与尝试，再形成自身的艺术创作灵感。</w:t>
      </w:r>
    </w:p>
    <w:p>
      <w:pPr>
        <w:snapToGrid w:val="0"/>
        <w:spacing w:line="288" w:lineRule="auto"/>
        <w:ind w:firstLine="400" w:firstLineChars="200"/>
        <w:rPr>
          <w:color w:val="000000"/>
          <w:sz w:val="20"/>
          <w:szCs w:val="20"/>
        </w:rPr>
      </w:pPr>
      <w:r>
        <w:rPr>
          <w:rFonts w:hint="eastAsia"/>
          <w:color w:val="000000"/>
          <w:sz w:val="20"/>
          <w:szCs w:val="20"/>
        </w:rPr>
        <w:t>音乐鉴赏的课程共有16周，除开考试也只有10周多的课程，所以在一学期的艺术鉴赏时间有限。世界上优秀的大师艺术作品又浩瀚无边。该课程建设会针对艺术鉴赏的知识性特点划分为短小的结构章节介绍给大家，更便于学生们的理解、学习与消化。其中，课堂上的练习与艺术作品都是紧密结合，要求学生们在其中成为艺术交流中的参与者，作曲家与听众的交流，插画大师与观众的交流，导演与观众的对话等，而听众或观众在很长的时间段中做出反应。最后，学生们具备了这些新发展的聆听或观看技巧，学生将会很舒服的来到音乐厅，带着更大信心和乐趣聆听古典和流行音乐，来到剧院去观看影视及舞台艺术表演等。可以说，这门课是为了当前我们学习艺术鉴赏知识的课程，但其实这门课的目的是为学生们终生的音乐聆听、视觉鉴赏和乐趣做准备。尤其为广告专业的学生带来更多艺术灵感的启迪与积累。</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snapToGrid w:val="0"/>
        <w:spacing w:line="288" w:lineRule="auto"/>
        <w:ind w:firstLine="400" w:firstLineChars="200"/>
        <w:rPr>
          <w:color w:val="000000"/>
          <w:sz w:val="20"/>
          <w:szCs w:val="20"/>
        </w:rPr>
      </w:pPr>
      <w:r>
        <w:rPr>
          <w:rFonts w:hint="eastAsia"/>
          <w:color w:val="000000"/>
          <w:sz w:val="20"/>
          <w:szCs w:val="20"/>
        </w:rPr>
        <w:t>适合所有未曾学习过的学生任何时间开始学习</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5"/>
        <w:tblW w:w="8192" w:type="dxa"/>
        <w:tblInd w:w="0" w:type="dxa"/>
        <w:tblLayout w:type="fixed"/>
        <w:tblCellMar>
          <w:top w:w="0" w:type="dxa"/>
          <w:left w:w="108" w:type="dxa"/>
          <w:bottom w:w="0" w:type="dxa"/>
          <w:right w:w="108" w:type="dxa"/>
        </w:tblCellMar>
      </w:tblPr>
      <w:tblGrid>
        <w:gridCol w:w="682"/>
        <w:gridCol w:w="877"/>
        <w:gridCol w:w="6227"/>
        <w:gridCol w:w="406"/>
      </w:tblGrid>
      <w:tr>
        <w:trPr>
          <w:trHeight w:val="347" w:hRule="atLeast"/>
        </w:trPr>
        <w:tc>
          <w:tcPr>
            <w:tcW w:w="68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L011</w:t>
            </w:r>
          </w:p>
        </w:tc>
        <w:tc>
          <w:tcPr>
            <w:tcW w:w="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LO111</w:t>
            </w:r>
          </w:p>
        </w:tc>
        <w:tc>
          <w:tcPr>
            <w:tcW w:w="62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倾听他人意见、尊重他人观点、分析他人需求。</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nil"/>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LO112</w:t>
            </w:r>
          </w:p>
        </w:tc>
        <w:tc>
          <w:tcPr>
            <w:tcW w:w="622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应用书面或口头形式，阐释自己的观点，有效沟通。</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L021</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LO211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能根据需要确定学习目标，并设计学习计划。</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LO212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能搜集、获取达到目标所需要的学习资源，实施学习计划、反思学习计划、持续改进，达到学习目标。</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r>
              <w:rPr>
                <w:color w:val="000000"/>
                <w:kern w:val="0"/>
                <w:sz w:val="20"/>
                <w:szCs w:val="20"/>
              </w:rPr>
              <w:sym w:font="Wingdings 2" w:char="F098"/>
            </w:r>
          </w:p>
        </w:tc>
      </w:tr>
      <w:tr>
        <w:trPr>
          <w:trHeight w:val="347" w:hRule="atLeast"/>
        </w:trPr>
        <w:tc>
          <w:tcPr>
            <w:tcW w:w="6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从海量信息中准确进行有针对性的采集，去芜存菁。</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对信息进行性质辨识和价值判断。</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L0313</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根据选定的主题对信息进行整合。</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p>
        </w:tc>
      </w:tr>
      <w:tr>
        <w:trPr>
          <w:trHeight w:val="347" w:hRule="atLeast"/>
        </w:trPr>
        <w:tc>
          <w:tcPr>
            <w:tcW w:w="682"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能顺畅地与人交流和沟通，并能因人而异采取不同沟通策略，如遇危机事件能有效公关。</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L0322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通过观察、倾听、提问、记录、感受、思考等方式，完成采访工作。</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熟悉传统的新闻体例，并能与时俱进地应用新媒体写作方式。</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进行有传播价值的文稿写作。</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LO333</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正文)" w:hAnsi="宋体 (正文)"/>
                <w:color w:val="000000" w:themeColor="text1"/>
                <w:kern w:val="0"/>
                <w:sz w:val="18"/>
                <w:szCs w:val="18"/>
              </w:rPr>
            </w:pPr>
            <w:r>
              <w:rPr>
                <w:rFonts w:ascii="宋体 (正文)" w:hAnsi="宋体 (正文)"/>
                <w:color w:val="000000" w:themeColor="text1"/>
                <w:kern w:val="0"/>
                <w:sz w:val="18"/>
                <w:szCs w:val="18"/>
              </w:rPr>
              <w:t>能针对不同媒体介质灵活进行文稿编辑。</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能够把握好新闻宣传规律。</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围绕主题进行策划。</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LO343</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能有效地执行策划方案。</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熟悉传统媒介并关注新媒介与时俱进的新变化。</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nil"/>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L0352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娴熟掌握至少两种传播媒介应用技能。</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L041</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遵纪守法：遵守校纪校规，具备法律意识。</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诚实守信：为人诚实，信守承诺，尽职尽责。</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LO413</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LO414</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身心健康，能承受学习和生活中的压力。</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r>
              <w:rPr>
                <w:color w:val="000000"/>
                <w:kern w:val="0"/>
                <w:sz w:val="20"/>
                <w:szCs w:val="20"/>
              </w:rPr>
              <w:sym w:font="Wingdings 2" w:char="F098"/>
            </w:r>
          </w:p>
        </w:tc>
      </w:tr>
      <w:tr>
        <w:trPr>
          <w:trHeight w:val="347" w:hRule="atLeast"/>
        </w:trPr>
        <w:tc>
          <w:tcPr>
            <w:tcW w:w="6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L051</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在集体活动中能主动担任自己的角色，与其他成员密切合作，共同完成任务。</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有质疑精神，能有逻辑的分析与批判。</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LO513</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能用创新的方法或者多种方法解决复杂问题或真实问题。</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LO514</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了解行业前沿知识技术。</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L061</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能够根据需要进行专业文献检索。</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能使用合适的软件来搜集和分析所需的信息数据。</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LO613</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能把现代信息技术融入到新闻宣传工作各个环节。</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L071</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爱党爱国：了解祖国的优秀传统文化和革命历史，构建爱党爱国的理想信念。</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助人为乐：富于爱心，懂得感恩，具备助人为乐的品质。</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LO713</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奉献社会：具有服务企业、服务社会的意愿和行为能力。</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LO714</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爱护环境：具有爱护环境的意识和与自然和谐相处的环保理念。</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w:t>
            </w: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L0811</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具备外语表达沟通能力，达到本专业的要求。</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L0812</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理解其他国家历史文化，有跨文化交流能力。</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color w:val="000000"/>
                <w:kern w:val="0"/>
                <w:sz w:val="20"/>
                <w:szCs w:val="20"/>
              </w:rPr>
              <w:sym w:font="Wingdings 2" w:char="F098"/>
            </w:r>
            <w:r>
              <w:rPr>
                <w:rFonts w:hint="eastAsia" w:ascii="宋体" w:hAnsi="宋体"/>
                <w:color w:val="000000" w:themeColor="text1"/>
                <w:kern w:val="0"/>
                <w:sz w:val="18"/>
                <w:szCs w:val="18"/>
              </w:rPr>
              <w:t>　</w:t>
            </w:r>
          </w:p>
        </w:tc>
      </w:tr>
      <w:tr>
        <w:trPr>
          <w:trHeight w:val="347" w:hRule="atLeast"/>
        </w:trPr>
        <w:tc>
          <w:tcPr>
            <w:tcW w:w="6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themeColor="text1"/>
                <w:kern w:val="0"/>
                <w:sz w:val="18"/>
                <w:szCs w:val="18"/>
              </w:rPr>
            </w:pPr>
          </w:p>
        </w:tc>
        <w:tc>
          <w:tcPr>
            <w:tcW w:w="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8"/>
                <w:szCs w:val="18"/>
              </w:rPr>
            </w:pPr>
            <w:r>
              <w:rPr>
                <w:rFonts w:hint="eastAsia" w:ascii="宋体" w:hAnsi="宋体"/>
                <w:color w:val="000000" w:themeColor="text1"/>
                <w:kern w:val="0"/>
                <w:sz w:val="18"/>
                <w:szCs w:val="18"/>
              </w:rPr>
              <w:t>L0813</w:t>
            </w:r>
          </w:p>
        </w:tc>
        <w:tc>
          <w:tcPr>
            <w:tcW w:w="62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能用国际视野来分析评判具体的新闻事件。</w:t>
            </w:r>
          </w:p>
        </w:tc>
        <w:tc>
          <w:tcPr>
            <w:tcW w:w="4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8"/>
                <w:szCs w:val="18"/>
              </w:rPr>
            </w:pPr>
            <w:r>
              <w:rPr>
                <w:rFonts w:hint="eastAsia" w:ascii="宋体" w:hAnsi="宋体"/>
                <w:color w:val="000000" w:themeColor="text1"/>
                <w:kern w:val="0"/>
                <w:sz w:val="18"/>
                <w:szCs w:val="18"/>
              </w:rPr>
              <w:t>　</w:t>
            </w: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tcPr>
          <w:p>
            <w:pPr>
              <w:rPr>
                <w:rFonts w:ascii="仿宋" w:hAnsi="仿宋" w:eastAsia="仿宋" w:cs="宋体"/>
                <w:color w:val="000000"/>
                <w:kern w:val="0"/>
                <w:sz w:val="24"/>
              </w:rPr>
            </w:pPr>
            <w:r>
              <w:rPr>
                <w:rFonts w:hint="eastAsia" w:ascii="宋体" w:hAnsi="宋体"/>
                <w:color w:val="000000"/>
              </w:rPr>
              <w:t>能根据需要确定学习目标，并设计学习计划。</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边讲边练</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古典音乐为背景的新闻作品汇报</w:t>
            </w:r>
          </w:p>
        </w:tc>
      </w:tr>
      <w:t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rPr>
                <w:rFonts w:ascii="仿宋" w:hAnsi="仿宋" w:eastAsia="仿宋" w:cs="宋体"/>
                <w:color w:val="000000" w:themeColor="text1"/>
                <w:kern w:val="0"/>
                <w:sz w:val="24"/>
                <w:szCs w:val="24"/>
              </w:rPr>
            </w:pPr>
            <w:r>
              <w:rPr>
                <w:rFonts w:hint="eastAsia" w:ascii="宋体" w:hAnsi="宋体"/>
                <w:color w:val="000000" w:themeColor="text1"/>
                <w:kern w:val="0"/>
                <w:sz w:val="24"/>
                <w:szCs w:val="24"/>
              </w:rPr>
              <w:t>LO212</w:t>
            </w:r>
          </w:p>
        </w:tc>
        <w:tc>
          <w:tcPr>
            <w:tcW w:w="2470" w:type="dxa"/>
            <w:shd w:val="clear" w:color="auto" w:fill="auto"/>
            <w:vAlign w:val="center"/>
          </w:tcPr>
          <w:p>
            <w:pPr>
              <w:rPr>
                <w:rFonts w:ascii="仿宋" w:hAnsi="仿宋" w:eastAsia="仿宋" w:cs="宋体"/>
                <w:color w:val="000000" w:themeColor="text1"/>
                <w:kern w:val="0"/>
                <w:sz w:val="24"/>
                <w:szCs w:val="24"/>
              </w:rPr>
            </w:pPr>
            <w:r>
              <w:rPr>
                <w:rFonts w:hint="eastAsia" w:ascii="宋体" w:hAnsi="宋体"/>
                <w:color w:val="000000" w:themeColor="text1"/>
                <w:kern w:val="0"/>
                <w:sz w:val="24"/>
                <w:szCs w:val="24"/>
              </w:rPr>
              <w:t>能搜集、获取达到目标所需要的学习资源，实施学习计划、反思学习计划、持续改进，达到学习目标。</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黑体" w:hAnsi="宋体" w:eastAsia="黑体"/>
                <w:sz w:val="24"/>
              </w:rPr>
              <w:t>边讲边练，聆听并欣赏艺术视频音频与图片等</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艺术聆听考核与汇报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rPr>
                <w:rFonts w:ascii="仿宋" w:hAnsi="仿宋" w:eastAsia="仿宋" w:cs="宋体"/>
                <w:color w:val="000000" w:themeColor="text1"/>
                <w:kern w:val="0"/>
                <w:sz w:val="24"/>
                <w:szCs w:val="24"/>
              </w:rPr>
            </w:pPr>
            <w:r>
              <w:rPr>
                <w:rFonts w:hint="eastAsia" w:ascii="宋体" w:hAnsi="宋体"/>
                <w:color w:val="000000" w:themeColor="text1"/>
                <w:kern w:val="0"/>
                <w:sz w:val="24"/>
                <w:szCs w:val="24"/>
              </w:rPr>
              <w:t>LO414</w:t>
            </w:r>
          </w:p>
        </w:tc>
        <w:tc>
          <w:tcPr>
            <w:tcW w:w="2470" w:type="dxa"/>
            <w:shd w:val="clear" w:color="auto" w:fill="auto"/>
            <w:vAlign w:val="center"/>
          </w:tcPr>
          <w:p>
            <w:pPr>
              <w:rPr>
                <w:rFonts w:ascii="仿宋" w:hAnsi="仿宋" w:eastAsia="仿宋" w:cs="宋体"/>
                <w:color w:val="000000" w:themeColor="text1"/>
                <w:kern w:val="0"/>
                <w:sz w:val="24"/>
                <w:szCs w:val="24"/>
              </w:rPr>
            </w:pPr>
            <w:r>
              <w:rPr>
                <w:rFonts w:hint="eastAsia" w:ascii="宋体" w:hAnsi="宋体"/>
                <w:color w:val="000000" w:themeColor="text1"/>
                <w:kern w:val="0"/>
                <w:sz w:val="24"/>
                <w:szCs w:val="24"/>
              </w:rPr>
              <w:t>身心健康，能承受学习和生活中的压力。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边讲边练，聆听并欣赏艺术视频音频与图片等</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艺术作品赏析、练习与文化结合方式制作的作品汇报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rPr>
                <w:rFonts w:ascii="仿宋" w:hAnsi="仿宋" w:eastAsia="仿宋" w:cs="宋体"/>
                <w:color w:val="000000" w:themeColor="text1"/>
                <w:kern w:val="0"/>
                <w:sz w:val="24"/>
                <w:szCs w:val="24"/>
              </w:rPr>
            </w:pPr>
            <w:r>
              <w:rPr>
                <w:rFonts w:hint="eastAsia" w:ascii="宋体" w:hAnsi="宋体"/>
                <w:color w:val="000000" w:themeColor="text1"/>
                <w:kern w:val="0"/>
                <w:sz w:val="24"/>
                <w:szCs w:val="24"/>
              </w:rPr>
              <w:t>L0812</w:t>
            </w:r>
          </w:p>
        </w:tc>
        <w:tc>
          <w:tcPr>
            <w:tcW w:w="2470" w:type="dxa"/>
            <w:shd w:val="clear" w:color="auto" w:fill="auto"/>
            <w:vAlign w:val="center"/>
          </w:tcPr>
          <w:p>
            <w:pPr>
              <w:rPr>
                <w:rFonts w:ascii="仿宋" w:hAnsi="仿宋" w:eastAsia="仿宋" w:cs="宋体"/>
                <w:color w:val="000000" w:themeColor="text1"/>
                <w:kern w:val="0"/>
                <w:sz w:val="24"/>
                <w:szCs w:val="24"/>
              </w:rPr>
            </w:pPr>
            <w:r>
              <w:rPr>
                <w:rFonts w:hint="eastAsia" w:ascii="宋体" w:hAnsi="宋体"/>
                <w:color w:val="000000" w:themeColor="text1"/>
                <w:kern w:val="0"/>
                <w:sz w:val="24"/>
                <w:szCs w:val="24"/>
              </w:rPr>
              <w:t>理解其他国家历史文化，有跨文化交流能力。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边讲边练，聆听并欣赏艺术视频音频与图片等</w:t>
            </w:r>
          </w:p>
        </w:tc>
        <w:tc>
          <w:tcPr>
            <w:tcW w:w="1276" w:type="dxa"/>
            <w:shd w:val="clear" w:color="auto" w:fill="auto"/>
          </w:tcPr>
          <w:p>
            <w:pPr>
              <w:snapToGrid w:val="0"/>
              <w:spacing w:line="288" w:lineRule="auto"/>
              <w:rPr>
                <w:rFonts w:ascii="黑体" w:hAnsi="宋体" w:eastAsia="黑体"/>
                <w:sz w:val="24"/>
              </w:rPr>
            </w:pPr>
          </w:p>
          <w:p>
            <w:pPr>
              <w:snapToGrid w:val="0"/>
              <w:spacing w:line="288" w:lineRule="auto"/>
              <w:rPr>
                <w:rFonts w:ascii="黑体" w:hAnsi="宋体" w:eastAsia="黑体"/>
                <w:sz w:val="24"/>
              </w:rPr>
            </w:pPr>
            <w:r>
              <w:rPr>
                <w:rFonts w:hint="eastAsia" w:ascii="黑体" w:hAnsi="宋体" w:eastAsia="黑体"/>
                <w:sz w:val="24"/>
              </w:rPr>
              <w:t>艺术作品赏析、练习与文化结合方式制作的作品汇报</w:t>
            </w:r>
          </w:p>
          <w:p>
            <w:pPr>
              <w:snapToGrid w:val="0"/>
              <w:spacing w:line="288" w:lineRule="auto"/>
              <w:rPr>
                <w:rFonts w:ascii="黑体" w:hAnsi="宋体" w:eastAsia="黑体"/>
                <w:sz w:val="24"/>
              </w:rPr>
            </w:pP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第一单元 课堂计划、课堂礼仪、教学规范、课程考试内容与要求；（理论课时数8）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要求知识点需要知道与理解</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bCs/>
          <w:color w:val="000000" w:themeColor="text1"/>
          <w:sz w:val="20"/>
          <w:szCs w:val="20"/>
        </w:rPr>
        <w:t>第一周次</w:t>
      </w:r>
      <w:r>
        <w:rPr>
          <w:rFonts w:hint="eastAsia" w:ascii="宋体" w:hAnsi="宋体" w:cs="Arial"/>
          <w:color w:val="000000" w:themeColor="text1"/>
          <w:kern w:val="0"/>
          <w:sz w:val="20"/>
          <w:szCs w:val="20"/>
        </w:rPr>
        <w:t>告诉学生课程的考核方式，课程在该专业的重要性，教学内容及进度。 乐器排序常识</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知道:一学期教学计划和内容,以及课程考核方式与纪律要求</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理解:课程方向与鉴赏类音乐乐器的初步理解</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运用:乐器初步理解排序</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分析:乐器排序方位的理论依据</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综合:乐器种类</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评价:课堂展示</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难点:乐器及其排序的熟悉</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第二周次 乐器色彩聆听与认识</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知道:乐器的认识</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理解:乐器的音色色彩</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运用:聆听色彩时候的视觉反馈转化其他艺术表现形式</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分析:乐器色彩的归类与特征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综合:听觉色彩与绘画的视觉关系</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评价:课堂展示</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难点:如果有效的记忆听觉中的色彩</w:t>
      </w:r>
    </w:p>
    <w:p>
      <w:pPr>
        <w:snapToGrid w:val="0"/>
        <w:spacing w:line="288" w:lineRule="auto"/>
        <w:ind w:firstLine="400" w:firstLineChars="200"/>
        <w:rPr>
          <w:rFonts w:ascii="宋体" w:hAnsi="宋体" w:cs="Arial"/>
          <w:color w:val="000000" w:themeColor="text1"/>
          <w:kern w:val="0"/>
          <w:sz w:val="20"/>
          <w:szCs w:val="20"/>
        </w:rPr>
      </w:pP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第三周次乐器聆听与古典音乐的开头入门认识2</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知道:世界著名器乐曲目的三个作品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理解:该作品三个开头的聆听知识点</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运用:通过三个开头,学习音高 ,节奏,力度等聆听元素</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分析:三个开头的作品的音乐元素特征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综合:通过作品展开式聆听</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评价:课堂展示</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难点:如何能静心抓住聆听的音色层次</w:t>
      </w:r>
    </w:p>
    <w:p>
      <w:pPr>
        <w:snapToGrid w:val="0"/>
        <w:spacing w:line="288" w:lineRule="auto"/>
        <w:ind w:firstLine="400" w:firstLineChars="200"/>
        <w:rPr>
          <w:rFonts w:ascii="宋体" w:hAnsi="宋体" w:cs="Arial"/>
          <w:color w:val="000000" w:themeColor="text1"/>
          <w:kern w:val="0"/>
          <w:sz w:val="20"/>
          <w:szCs w:val="20"/>
        </w:rPr>
      </w:pP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第四周次 x1纸笔测验</w:t>
      </w:r>
    </w:p>
    <w:p>
      <w:pPr>
        <w:snapToGrid w:val="0"/>
        <w:spacing w:line="288" w:lineRule="auto"/>
        <w:ind w:firstLine="400" w:firstLineChars="200"/>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第二单元 结合爱国主义教育的人声艺术推广与器乐曲的初次接触与启迪；（理论课时8）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要求知识点理解并用于学校活动</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bCs/>
          <w:color w:val="000000" w:themeColor="text1"/>
          <w:sz w:val="20"/>
          <w:szCs w:val="20"/>
        </w:rPr>
        <w:t xml:space="preserve">第五周次 </w:t>
      </w:r>
      <w:r>
        <w:rPr>
          <w:rFonts w:hint="eastAsia" w:ascii="宋体" w:hAnsi="宋体" w:cs="Arial"/>
          <w:color w:val="000000" w:themeColor="text1"/>
          <w:kern w:val="0"/>
          <w:sz w:val="20"/>
          <w:szCs w:val="20"/>
        </w:rPr>
        <w:t>世界合唱艺术介绍</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知道:合唱概论</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理解:合唱分类</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运用:合唱的要求与技法</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分析:合唱的表现形式与风格</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 xml:space="preserve">综合:合唱的社会实践 </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评价:课堂展示</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难点:合唱的声部聆听分辨</w:t>
      </w:r>
    </w:p>
    <w:p>
      <w:pPr>
        <w:snapToGrid w:val="0"/>
        <w:spacing w:line="288" w:lineRule="auto"/>
        <w:ind w:firstLine="400" w:firstLineChars="200"/>
        <w:rPr>
          <w:rFonts w:ascii="宋体" w:hAnsi="宋体" w:cs="Arial"/>
          <w:color w:val="000000" w:themeColor="text1"/>
          <w:kern w:val="0"/>
          <w:sz w:val="20"/>
          <w:szCs w:val="20"/>
        </w:rPr>
      </w:pP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第六周次 古典音乐与视频创作的大师作品分类赏析！</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知道:古典音乐与视频插画名称</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理解:纯音乐类与图片类的音乐配视频</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运用:其中的听觉与视觉的艺术元素</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分析:其中听觉与视觉的共同特征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综合:创意的制作艺术作品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评价:调查报告</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难点:通过欣赏能如何能抓住元素知识形成自我</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第七周次古典音乐与视频创作的大师作品分类赏析2</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 古典音乐与视频插画名称</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 故事类与图片类的音乐配视频</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 其中的听觉与视觉的艺术元素</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 其中听觉与视觉的共同特征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综合: 创意的制作艺术作品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 调查报告</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难点: 通过欣赏能如何能抓住元素知识形成自我</w:t>
      </w:r>
    </w:p>
    <w:p>
      <w:pPr>
        <w:snapToGrid w:val="0"/>
        <w:spacing w:line="288" w:lineRule="auto"/>
        <w:ind w:firstLine="400" w:firstLineChars="200"/>
        <w:rPr>
          <w:rFonts w:ascii="宋体" w:hAnsi="宋体" w:cs="Arial"/>
          <w:color w:val="000000" w:themeColor="text1"/>
          <w:kern w:val="0"/>
          <w:sz w:val="20"/>
          <w:szCs w:val="20"/>
        </w:rPr>
      </w:pP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 xml:space="preserve">第八周次古典音乐为背景的课堂展示 </w:t>
      </w:r>
    </w:p>
    <w:p>
      <w:pPr>
        <w:snapToGrid w:val="0"/>
        <w:spacing w:line="288" w:lineRule="auto"/>
        <w:ind w:firstLine="400" w:firstLineChars="200"/>
        <w:rPr>
          <w:rFonts w:ascii="宋体" w:hAnsi="宋体" w:cs="Arial"/>
          <w:color w:val="000000" w:themeColor="text1"/>
          <w:kern w:val="0"/>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第三单元 音乐史为顺序的音乐作品压缩讲解与鉴赏：（理论课时数8）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要求能知道知识点并能做出综合与评价</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bCs/>
          <w:color w:val="000000" w:themeColor="text1"/>
          <w:sz w:val="20"/>
          <w:szCs w:val="20"/>
        </w:rPr>
        <w:t>第九周次</w:t>
      </w:r>
      <w:r>
        <w:rPr>
          <w:rFonts w:hint="eastAsia" w:ascii="宋体" w:hAnsi="宋体" w:cs="Arial"/>
          <w:color w:val="000000" w:themeColor="text1"/>
          <w:kern w:val="0"/>
          <w:sz w:val="20"/>
          <w:szCs w:val="20"/>
        </w:rPr>
        <w:t>中世纪、文艺复兴、巴洛克时期艺术欣赏</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知道:人文时代地理背景</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理解:艺术风格</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运用:艺术元素</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分析:艺术特征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综合:艺术表现力</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评价:综合报告</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难点:内容的积累与熟悉的量较多</w:t>
      </w:r>
    </w:p>
    <w:p>
      <w:pPr>
        <w:snapToGrid w:val="0"/>
        <w:spacing w:line="288" w:lineRule="auto"/>
        <w:ind w:firstLine="400" w:firstLineChars="200"/>
        <w:rPr>
          <w:rFonts w:ascii="宋体" w:hAnsi="宋体" w:cs="Arial"/>
          <w:color w:val="000000" w:themeColor="text1"/>
          <w:kern w:val="0"/>
          <w:sz w:val="20"/>
          <w:szCs w:val="20"/>
        </w:rPr>
      </w:pPr>
    </w:p>
    <w:p>
      <w:pPr>
        <w:snapToGrid w:val="0"/>
        <w:spacing w:line="288" w:lineRule="auto"/>
        <w:ind w:firstLine="400" w:firstLineChars="200"/>
        <w:rPr>
          <w:rFonts w:ascii="黑体" w:hAnsi="黑体" w:eastAsia="黑体"/>
          <w:color w:val="000000" w:themeColor="text1"/>
          <w:kern w:val="0"/>
          <w:sz w:val="20"/>
          <w:szCs w:val="20"/>
        </w:rPr>
      </w:pPr>
      <w:r>
        <w:rPr>
          <w:rFonts w:hint="eastAsia" w:ascii="宋体" w:hAnsi="宋体" w:cs="Arial"/>
          <w:color w:val="000000" w:themeColor="text1"/>
          <w:kern w:val="0"/>
          <w:sz w:val="20"/>
          <w:szCs w:val="20"/>
        </w:rPr>
        <w:t>第十周次</w:t>
      </w:r>
      <w:r>
        <w:rPr>
          <w:rFonts w:hint="eastAsia" w:ascii="黑体" w:hAnsi="黑体" w:eastAsia="黑体"/>
          <w:color w:val="000000" w:themeColor="text1"/>
          <w:kern w:val="0"/>
          <w:sz w:val="20"/>
          <w:szCs w:val="20"/>
        </w:rPr>
        <w:t>古典主义艺术欣赏</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知道:人文时代地理背景</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理解:艺术风格</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运用:艺术元素</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分析:艺术特征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综合:艺术表现力</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评价:综合报告</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难点:内容的积累与熟悉的量较多</w:t>
      </w:r>
    </w:p>
    <w:p>
      <w:pPr>
        <w:snapToGrid w:val="0"/>
        <w:spacing w:line="288" w:lineRule="auto"/>
        <w:ind w:firstLine="400" w:firstLineChars="200"/>
        <w:rPr>
          <w:rFonts w:ascii="黑体" w:hAnsi="黑体" w:eastAsia="黑体"/>
          <w:color w:val="000000" w:themeColor="text1"/>
          <w:kern w:val="0"/>
          <w:sz w:val="20"/>
          <w:szCs w:val="20"/>
        </w:rPr>
      </w:pPr>
    </w:p>
    <w:p>
      <w:pPr>
        <w:snapToGrid w:val="0"/>
        <w:spacing w:line="288" w:lineRule="auto"/>
        <w:ind w:left="420" w:leftChars="200"/>
        <w:rPr>
          <w:rFonts w:ascii="黑体" w:hAnsi="黑体" w:eastAsia="黑体"/>
          <w:color w:val="000000" w:themeColor="text1"/>
          <w:kern w:val="0"/>
          <w:sz w:val="20"/>
          <w:szCs w:val="20"/>
        </w:rPr>
      </w:pPr>
      <w:r>
        <w:rPr>
          <w:rFonts w:hint="eastAsia" w:ascii="黑体" w:hAnsi="黑体" w:eastAsia="黑体"/>
          <w:color w:val="000000" w:themeColor="text1"/>
          <w:kern w:val="0"/>
          <w:sz w:val="20"/>
          <w:szCs w:val="20"/>
        </w:rPr>
        <w:t>第十一周次 浪漫主义时期艺术鉴赏</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知道:人文时代地理背景</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理解:艺术风格</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运用:艺术元素</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分析:艺术特征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综合:艺术表现力</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评价:综合报告</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难点:内容的积累与熟悉的量较多</w:t>
      </w:r>
    </w:p>
    <w:p>
      <w:pPr>
        <w:snapToGrid w:val="0"/>
        <w:spacing w:line="288" w:lineRule="auto"/>
        <w:ind w:left="420" w:leftChars="200"/>
        <w:rPr>
          <w:rFonts w:ascii="黑体" w:hAnsi="黑体" w:eastAsia="黑体"/>
          <w:color w:val="000000" w:themeColor="text1"/>
          <w:kern w:val="0"/>
          <w:sz w:val="20"/>
          <w:szCs w:val="20"/>
        </w:rPr>
      </w:pPr>
    </w:p>
    <w:p>
      <w:pPr>
        <w:snapToGrid w:val="0"/>
        <w:spacing w:line="288" w:lineRule="auto"/>
        <w:ind w:left="420" w:leftChars="200"/>
        <w:rPr>
          <w:rFonts w:ascii="黑体" w:hAnsi="黑体" w:eastAsia="黑体"/>
          <w:color w:val="000000" w:themeColor="text1"/>
          <w:kern w:val="0"/>
          <w:sz w:val="20"/>
          <w:szCs w:val="20"/>
        </w:rPr>
      </w:pPr>
      <w:r>
        <w:rPr>
          <w:rFonts w:hint="eastAsia" w:ascii="黑体" w:hAnsi="宋体" w:eastAsia="黑体"/>
          <w:color w:val="000000" w:themeColor="text1"/>
          <w:sz w:val="20"/>
          <w:szCs w:val="20"/>
        </w:rPr>
        <w:t>第十二周次三个时期音乐欣赏内容</w:t>
      </w:r>
      <w:r>
        <w:rPr>
          <w:rFonts w:hint="eastAsia" w:ascii="黑体" w:hAnsi="黑体" w:eastAsia="黑体"/>
          <w:color w:val="000000" w:themeColor="text1"/>
          <w:kern w:val="0"/>
          <w:sz w:val="20"/>
          <w:szCs w:val="20"/>
        </w:rPr>
        <w:t xml:space="preserve">听辨考核 </w:t>
      </w:r>
    </w:p>
    <w:p>
      <w:pPr>
        <w:snapToGrid w:val="0"/>
        <w:spacing w:line="288" w:lineRule="auto"/>
        <w:ind w:left="420" w:leftChars="200"/>
        <w:rPr>
          <w:rFonts w:ascii="黑体" w:hAnsi="宋体" w:eastAsia="黑体"/>
          <w:color w:val="000000" w:themeColor="text1"/>
          <w:sz w:val="20"/>
          <w:szCs w:val="20"/>
        </w:rPr>
      </w:pPr>
      <w:r>
        <w:rPr>
          <w:rFonts w:hint="eastAsia" w:ascii="黑体" w:hAnsi="宋体" w:eastAsia="黑体"/>
          <w:color w:val="000000" w:themeColor="text1"/>
          <w:sz w:val="20"/>
          <w:szCs w:val="20"/>
        </w:rPr>
        <w:t>纸笔测试</w:t>
      </w:r>
    </w:p>
    <w:p>
      <w:pPr>
        <w:snapToGrid w:val="0"/>
        <w:spacing w:line="288" w:lineRule="auto"/>
        <w:ind w:firstLine="400" w:firstLineChars="200"/>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第四单元 当代与近代的世界音乐鉴赏；（理论课时数8）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能运用分析综合评价</w:t>
      </w:r>
    </w:p>
    <w:p>
      <w:pPr>
        <w:snapToGrid w:val="0"/>
        <w:spacing w:line="288" w:lineRule="auto"/>
        <w:ind w:firstLine="400" w:firstLineChars="200"/>
        <w:rPr>
          <w:rFonts w:ascii="黑体" w:hAnsi="黑体" w:eastAsia="黑体"/>
          <w:color w:val="000000" w:themeColor="text1"/>
          <w:kern w:val="0"/>
          <w:sz w:val="20"/>
          <w:szCs w:val="20"/>
        </w:rPr>
      </w:pPr>
      <w:r>
        <w:rPr>
          <w:rFonts w:hint="eastAsia" w:ascii="宋体" w:hAnsi="宋体"/>
          <w:bCs/>
          <w:color w:val="000000" w:themeColor="text1"/>
          <w:sz w:val="20"/>
          <w:szCs w:val="20"/>
        </w:rPr>
        <w:t xml:space="preserve">第十三周 </w:t>
      </w:r>
      <w:r>
        <w:rPr>
          <w:rFonts w:hint="eastAsia" w:ascii="黑体" w:hAnsi="黑体" w:eastAsia="黑体"/>
          <w:color w:val="000000" w:themeColor="text1"/>
          <w:kern w:val="0"/>
          <w:sz w:val="20"/>
          <w:szCs w:val="20"/>
        </w:rPr>
        <w:t>现代和后现代艺术鉴赏</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知道:人文时代地理背景</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理解:艺术风格</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运用:艺术元素</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分析:艺术特征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综合:艺术表现力</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评价:综合报告</w:t>
      </w:r>
    </w:p>
    <w:p>
      <w:pPr>
        <w:snapToGrid w:val="0"/>
        <w:spacing w:line="288" w:lineRule="auto"/>
        <w:ind w:firstLine="400" w:firstLineChars="200"/>
        <w:rPr>
          <w:rFonts w:ascii="黑体" w:hAnsi="黑体" w:eastAsia="黑体"/>
          <w:color w:val="000000" w:themeColor="text1"/>
          <w:kern w:val="0"/>
          <w:sz w:val="20"/>
          <w:szCs w:val="20"/>
        </w:rPr>
      </w:pPr>
      <w:r>
        <w:rPr>
          <w:rFonts w:hint="eastAsia" w:ascii="宋体" w:hAnsi="宋体" w:cs="Arial"/>
          <w:color w:val="000000" w:themeColor="text1"/>
          <w:kern w:val="0"/>
          <w:sz w:val="20"/>
          <w:szCs w:val="20"/>
        </w:rPr>
        <w:t>难点:内容的积累与熟悉的量较多</w:t>
      </w:r>
    </w:p>
    <w:p>
      <w:pPr>
        <w:snapToGrid w:val="0"/>
        <w:spacing w:line="288" w:lineRule="auto"/>
        <w:ind w:firstLine="400" w:firstLineChars="200"/>
        <w:rPr>
          <w:rFonts w:ascii="黑体" w:hAnsi="黑体" w:eastAsia="黑体"/>
          <w:color w:val="000000" w:themeColor="text1"/>
          <w:kern w:val="0"/>
          <w:sz w:val="20"/>
          <w:szCs w:val="20"/>
        </w:rPr>
      </w:pPr>
      <w:r>
        <w:rPr>
          <w:rFonts w:hint="eastAsia" w:ascii="黑体" w:hAnsi="黑体" w:eastAsia="黑体"/>
          <w:color w:val="000000" w:themeColor="text1"/>
          <w:kern w:val="0"/>
          <w:sz w:val="20"/>
          <w:szCs w:val="20"/>
        </w:rPr>
        <w:t>第十四周 美国及世界流行艺术鉴赏</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知道:人文时代地理背景</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理解:艺术风格</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运用:艺术元素</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分析:艺术特征</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综合:艺术表现力</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评价:综合报告</w:t>
      </w:r>
    </w:p>
    <w:p>
      <w:pPr>
        <w:snapToGrid w:val="0"/>
        <w:spacing w:line="288" w:lineRule="auto"/>
        <w:ind w:firstLine="400" w:firstLineChars="200"/>
        <w:rPr>
          <w:rFonts w:ascii="黑体" w:hAnsi="黑体" w:eastAsia="黑体"/>
          <w:color w:val="000000" w:themeColor="text1"/>
          <w:kern w:val="0"/>
          <w:sz w:val="20"/>
          <w:szCs w:val="20"/>
        </w:rPr>
      </w:pPr>
      <w:r>
        <w:rPr>
          <w:rFonts w:hint="eastAsia" w:ascii="宋体" w:hAnsi="宋体" w:cs="Arial"/>
          <w:color w:val="000000" w:themeColor="text1"/>
          <w:kern w:val="0"/>
          <w:sz w:val="20"/>
          <w:szCs w:val="20"/>
        </w:rPr>
        <w:t>难点:内容的积累与熟悉的量较多</w:t>
      </w:r>
    </w:p>
    <w:p>
      <w:pPr>
        <w:snapToGrid w:val="0"/>
        <w:spacing w:line="288" w:lineRule="auto"/>
        <w:ind w:firstLine="400" w:firstLineChars="200"/>
        <w:rPr>
          <w:rFonts w:ascii="黑体" w:hAnsi="黑体" w:eastAsia="黑体"/>
          <w:color w:val="000000" w:themeColor="text1"/>
          <w:kern w:val="0"/>
          <w:sz w:val="20"/>
          <w:szCs w:val="20"/>
        </w:rPr>
      </w:pPr>
      <w:r>
        <w:rPr>
          <w:rFonts w:hint="eastAsia" w:ascii="黑体" w:hAnsi="黑体" w:eastAsia="黑体"/>
          <w:color w:val="000000" w:themeColor="text1"/>
          <w:kern w:val="0"/>
          <w:sz w:val="20"/>
          <w:szCs w:val="20"/>
        </w:rPr>
        <w:t>第十五周作品课堂展示与综合报告1</w:t>
      </w:r>
    </w:p>
    <w:p>
      <w:pPr>
        <w:snapToGrid w:val="0"/>
        <w:spacing w:line="288" w:lineRule="auto"/>
        <w:ind w:firstLine="400" w:firstLineChars="200"/>
        <w:rPr>
          <w:rFonts w:ascii="黑体" w:hAnsi="黑体" w:eastAsia="黑体"/>
          <w:color w:val="000000" w:themeColor="text1"/>
          <w:kern w:val="0"/>
          <w:sz w:val="20"/>
          <w:szCs w:val="20"/>
        </w:rPr>
      </w:pPr>
    </w:p>
    <w:p>
      <w:pPr>
        <w:snapToGrid w:val="0"/>
        <w:spacing w:line="288" w:lineRule="auto"/>
        <w:ind w:firstLine="400" w:firstLineChars="200"/>
        <w:rPr>
          <w:rFonts w:ascii="宋体" w:hAnsi="宋体"/>
          <w:color w:val="000000" w:themeColor="text1"/>
          <w:sz w:val="20"/>
          <w:szCs w:val="20"/>
        </w:rPr>
      </w:pPr>
      <w:r>
        <w:rPr>
          <w:rFonts w:hint="eastAsia" w:ascii="黑体" w:hAnsi="黑体" w:eastAsia="黑体"/>
          <w:color w:val="000000" w:themeColor="text1"/>
          <w:kern w:val="0"/>
          <w:sz w:val="20"/>
          <w:szCs w:val="20"/>
        </w:rPr>
        <w:t>第十六周作品课堂展示与综合报告2</w:t>
      </w:r>
    </w:p>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音乐片段鉴赏的观后感汇报</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音乐片段鉴赏的观后感汇报宣讲</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音乐片段鉴赏的观后感汇报宣讲</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highlight w:val="yellow"/>
              </w:rPr>
            </w:pPr>
          </w:p>
        </w:tc>
        <w:tc>
          <w:tcPr>
            <w:tcW w:w="5103" w:type="dxa"/>
            <w:shd w:val="clear" w:color="auto" w:fill="auto"/>
          </w:tcPr>
          <w:p>
            <w:pPr>
              <w:snapToGrid w:val="0"/>
              <w:spacing w:before="156" w:beforeLines="50" w:after="156" w:afterLines="50"/>
              <w:jc w:val="center"/>
              <w:rPr>
                <w:rFonts w:ascii="宋体" w:hAnsi="宋体"/>
                <w:bCs/>
                <w:color w:val="000000"/>
                <w:szCs w:val="20"/>
              </w:rPr>
            </w:pPr>
          </w:p>
        </w:tc>
        <w:tc>
          <w:tcPr>
            <w:tcW w:w="1843" w:type="dxa"/>
            <w:shd w:val="clear" w:color="auto" w:fill="auto"/>
          </w:tcPr>
          <w:p>
            <w:pPr>
              <w:snapToGrid w:val="0"/>
              <w:spacing w:before="156" w:beforeLines="50" w:after="156" w:afterLines="50"/>
              <w:jc w:val="center"/>
              <w:rPr>
                <w:rFonts w:ascii="宋体" w:hAnsi="宋体"/>
                <w:bCs/>
                <w:color w:val="000000"/>
                <w:szCs w:val="20"/>
              </w:rPr>
            </w:pP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撰写人：陈莉             系主任审核签名：郑潇</w:t>
      </w:r>
    </w:p>
    <w:p>
      <w:pPr>
        <w:snapToGrid w:val="0"/>
        <w:spacing w:line="288" w:lineRule="auto"/>
        <w:ind w:firstLine="840" w:firstLineChars="300"/>
        <w:rPr>
          <w:sz w:val="28"/>
          <w:szCs w:val="28"/>
        </w:rPr>
      </w:pPr>
      <w:r>
        <w:rPr>
          <w:rFonts w:hint="eastAsia"/>
          <w:sz w:val="28"/>
          <w:szCs w:val="28"/>
        </w:rPr>
        <w:t>审核时间：  20</w:t>
      </w:r>
      <w:r>
        <w:rPr>
          <w:rFonts w:hint="default"/>
          <w:sz w:val="28"/>
          <w:szCs w:val="28"/>
        </w:rPr>
        <w:t>20</w:t>
      </w:r>
      <w:bookmarkStart w:id="1" w:name="_GoBack"/>
      <w:bookmarkEnd w:id="1"/>
      <w:r>
        <w:rPr>
          <w:rFonts w:hint="eastAsia"/>
          <w:sz w:val="28"/>
          <w:szCs w:val="28"/>
        </w:rPr>
        <w:t xml:space="preserve">/9/3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方正小标宋简体">
    <w:altName w:val="宋体"/>
    <w:panose1 w:val="00000000000000000000"/>
    <w:charset w:val="86"/>
    <w:family w:val="script"/>
    <w:pitch w:val="default"/>
    <w:sig w:usb0="00000000" w:usb1="00000000" w:usb2="00000000" w:usb3="00000000" w:csb0="00040000" w:csb1="00000000"/>
  </w:font>
  <w:font w:name="Arial">
    <w:panose1 w:val="020B0604020202090204"/>
    <w:charset w:val="00"/>
    <w:family w:val="auto"/>
    <w:pitch w:val="default"/>
    <w:sig w:usb0="E0000AFF" w:usb1="00007843" w:usb2="00000001" w:usb3="00000000" w:csb0="400001BF" w:csb1="DFF70000"/>
  </w:font>
  <w:font w:name="黑体">
    <w:panose1 w:val="02010609060101010101"/>
    <w:charset w:val="50"/>
    <w:family w:val="auto"/>
    <w:pitch w:val="default"/>
    <w:sig w:usb0="800002BF" w:usb1="38CF7CFA" w:usb2="00000016" w:usb3="00000000" w:csb0="00040001" w:csb1="00000000"/>
  </w:font>
  <w:font w:name="Helvetica">
    <w:panose1 w:val="00000000000000000000"/>
    <w:charset w:val="00"/>
    <w:family w:val="auto"/>
    <w:pitch w:val="default"/>
    <w:sig w:usb0="E00002FF" w:usb1="5000785B" w:usb2="00000000" w:usb3="00000000" w:csb0="2000019F" w:csb1="4F010000"/>
  </w:font>
  <w:font w:name="Wingdings 2">
    <w:panose1 w:val="05020102010507070707"/>
    <w:charset w:val="02"/>
    <w:family w:val="auto"/>
    <w:pitch w:val="default"/>
    <w:sig w:usb0="00000000" w:usb1="00000000" w:usb2="00000000" w:usb3="00000000" w:csb0="80000000" w:csb1="00000000"/>
  </w:font>
  <w:font w:name="宋体 (正文)">
    <w:altName w:val="苹方-简"/>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3E38"/>
    <w:rsid w:val="000805A7"/>
    <w:rsid w:val="00080699"/>
    <w:rsid w:val="001072BC"/>
    <w:rsid w:val="00124720"/>
    <w:rsid w:val="001C5FA0"/>
    <w:rsid w:val="00253F08"/>
    <w:rsid w:val="00256B39"/>
    <w:rsid w:val="0026033C"/>
    <w:rsid w:val="002618E5"/>
    <w:rsid w:val="00271FE3"/>
    <w:rsid w:val="00286BE3"/>
    <w:rsid w:val="002E3721"/>
    <w:rsid w:val="00313B9D"/>
    <w:rsid w:val="00313BBA"/>
    <w:rsid w:val="0032602E"/>
    <w:rsid w:val="003367AE"/>
    <w:rsid w:val="003B1258"/>
    <w:rsid w:val="004100B0"/>
    <w:rsid w:val="004F7980"/>
    <w:rsid w:val="005467DC"/>
    <w:rsid w:val="00553D03"/>
    <w:rsid w:val="005A73BF"/>
    <w:rsid w:val="005B2B6D"/>
    <w:rsid w:val="005B4B4E"/>
    <w:rsid w:val="00624FE1"/>
    <w:rsid w:val="006528C3"/>
    <w:rsid w:val="006E324E"/>
    <w:rsid w:val="006F2FB5"/>
    <w:rsid w:val="00710424"/>
    <w:rsid w:val="007208D6"/>
    <w:rsid w:val="0074581A"/>
    <w:rsid w:val="007678B3"/>
    <w:rsid w:val="007E3BC1"/>
    <w:rsid w:val="008B397C"/>
    <w:rsid w:val="008B47F4"/>
    <w:rsid w:val="00900019"/>
    <w:rsid w:val="009147B6"/>
    <w:rsid w:val="00921DA4"/>
    <w:rsid w:val="00940033"/>
    <w:rsid w:val="009470BB"/>
    <w:rsid w:val="00984786"/>
    <w:rsid w:val="0099063E"/>
    <w:rsid w:val="00A1726B"/>
    <w:rsid w:val="00A769B1"/>
    <w:rsid w:val="00A837D5"/>
    <w:rsid w:val="00AC4C45"/>
    <w:rsid w:val="00B46F21"/>
    <w:rsid w:val="00B511A5"/>
    <w:rsid w:val="00B633F3"/>
    <w:rsid w:val="00B736A7"/>
    <w:rsid w:val="00B7651F"/>
    <w:rsid w:val="00B76756"/>
    <w:rsid w:val="00C070D9"/>
    <w:rsid w:val="00C12D35"/>
    <w:rsid w:val="00C56E09"/>
    <w:rsid w:val="00CE2340"/>
    <w:rsid w:val="00CF096B"/>
    <w:rsid w:val="00CF3898"/>
    <w:rsid w:val="00E16D30"/>
    <w:rsid w:val="00E33169"/>
    <w:rsid w:val="00E50195"/>
    <w:rsid w:val="00E70904"/>
    <w:rsid w:val="00EF44B1"/>
    <w:rsid w:val="00F35AA0"/>
    <w:rsid w:val="00F478B0"/>
    <w:rsid w:val="016E63C2"/>
    <w:rsid w:val="024B0C39"/>
    <w:rsid w:val="0A8128A6"/>
    <w:rsid w:val="0BF32A1B"/>
    <w:rsid w:val="10BD2C22"/>
    <w:rsid w:val="22987C80"/>
    <w:rsid w:val="24192CCC"/>
    <w:rsid w:val="2B5B655D"/>
    <w:rsid w:val="39A66CD4"/>
    <w:rsid w:val="3CD52CE1"/>
    <w:rsid w:val="410F2E6A"/>
    <w:rsid w:val="442F4EC7"/>
    <w:rsid w:val="4430136C"/>
    <w:rsid w:val="4AB0382B"/>
    <w:rsid w:val="569868B5"/>
    <w:rsid w:val="611F6817"/>
    <w:rsid w:val="66CA1754"/>
    <w:rsid w:val="6F1E65D4"/>
    <w:rsid w:val="6F266C86"/>
    <w:rsid w:val="6F5042C2"/>
    <w:rsid w:val="74316312"/>
    <w:rsid w:val="780F13C8"/>
    <w:rsid w:val="7C385448"/>
    <w:rsid w:val="7CB3663D"/>
    <w:rsid w:val="FE6E1B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字符"/>
    <w:basedOn w:val="4"/>
    <w:link w:val="3"/>
    <w:semiHidden/>
    <w:qFormat/>
    <w:uiPriority w:val="99"/>
    <w:rPr>
      <w:sz w:val="18"/>
      <w:szCs w:val="18"/>
    </w:rPr>
  </w:style>
  <w:style w:type="character" w:customStyle="1" w:styleId="8">
    <w:name w:val="页脚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705</Words>
  <Characters>4019</Characters>
  <Lines>33</Lines>
  <Paragraphs>9</Paragraphs>
  <TotalTime>0</TotalTime>
  <ScaleCrop>false</ScaleCrop>
  <LinksUpToDate>false</LinksUpToDate>
  <CharactersWithSpaces>4715</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xb21cn</dc:creator>
  <cp:lastModifiedBy>chenli</cp:lastModifiedBy>
  <dcterms:modified xsi:type="dcterms:W3CDTF">2020-09-06T11:39:35Z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