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《媒介法规与伦理》课程教学大纲专业</w:t>
      </w:r>
    </w:p>
    <w:p>
      <w:pPr>
        <w:spacing w:line="288" w:lineRule="auto"/>
        <w:jc w:val="center"/>
        <w:rPr>
          <w:b/>
          <w:sz w:val="28"/>
          <w:szCs w:val="30"/>
        </w:rPr>
      </w:pPr>
      <w:r>
        <w:rPr>
          <w:rFonts w:hint="eastAsia"/>
          <w:b/>
          <w:sz w:val="28"/>
          <w:szCs w:val="30"/>
        </w:rPr>
        <w:t>【媒介法规与伦理】</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b/>
          <w:sz w:val="28"/>
          <w:szCs w:val="30"/>
        </w:rPr>
        <w:t>Laws and Ethics of Media</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rFonts w:hint="eastAsia"/>
          <w:b/>
          <w:bCs/>
          <w:color w:val="000000"/>
          <w:sz w:val="20"/>
          <w:szCs w:val="20"/>
        </w:rPr>
        <w:t>【</w:t>
      </w:r>
      <w:r>
        <w:rPr>
          <w:b/>
          <w:bCs/>
          <w:color w:val="000000"/>
          <w:sz w:val="20"/>
          <w:szCs w:val="20"/>
        </w:rPr>
        <w:t>2030503</w:t>
      </w:r>
      <w:r>
        <w:rPr>
          <w:rFonts w:hint="eastAsia"/>
          <w:b/>
          <w:bCs/>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rFonts w:hint="eastAsia"/>
          <w:b/>
          <w:bCs/>
          <w:color w:val="000000"/>
          <w:sz w:val="20"/>
          <w:szCs w:val="20"/>
        </w:rPr>
        <w:t>【</w:t>
      </w:r>
      <w:r>
        <w:rPr>
          <w:rFonts w:hint="eastAsia"/>
          <w:color w:val="000000"/>
          <w:sz w:val="20"/>
          <w:szCs w:val="20"/>
        </w:rPr>
        <w:t>2】</w:t>
      </w:r>
    </w:p>
    <w:p>
      <w:pPr>
        <w:widowControl/>
        <w:shd w:val="clear" w:color="auto" w:fill="FFFFFF"/>
        <w:spacing w:line="338" w:lineRule="atLeast"/>
        <w:ind w:firstLine="391"/>
        <w:rPr>
          <w:rFonts w:ascii="Arial" w:hAnsi="Arial" w:cs="Arial"/>
          <w:color w:val="333333"/>
          <w:kern w:val="0"/>
          <w:sz w:val="23"/>
          <w:szCs w:val="23"/>
        </w:rPr>
      </w:pPr>
      <w:r>
        <w:rPr>
          <w:b/>
          <w:bCs/>
          <w:color w:val="000000"/>
          <w:sz w:val="20"/>
          <w:szCs w:val="20"/>
        </w:rPr>
        <w:t>面向专业：</w:t>
      </w:r>
      <w:r>
        <w:rPr>
          <w:rFonts w:hint="eastAsia"/>
          <w:b/>
          <w:bCs/>
          <w:color w:val="000000"/>
          <w:sz w:val="20"/>
          <w:szCs w:val="20"/>
        </w:rPr>
        <w:t>【</w:t>
      </w:r>
      <w:r>
        <w:rPr>
          <w:rFonts w:hint="eastAsia" w:ascii="Times New Roman" w:hAnsi="Times New Roman"/>
          <w:color w:val="000000"/>
          <w:kern w:val="0"/>
          <w:sz w:val="18"/>
          <w:szCs w:val="18"/>
        </w:rPr>
        <w:t>19、20级</w:t>
      </w:r>
      <w:r>
        <w:rPr>
          <w:rFonts w:ascii="Arial" w:hAnsi="Arial" w:cs="Arial"/>
          <w:color w:val="000000"/>
          <w:kern w:val="0"/>
          <w:sz w:val="18"/>
          <w:szCs w:val="18"/>
        </w:rPr>
        <w:t>新闻</w:t>
      </w:r>
      <w:r>
        <w:rPr>
          <w:rFonts w:hint="eastAsia" w:ascii="Arial" w:hAnsi="Arial" w:cs="Arial"/>
          <w:color w:val="000000"/>
          <w:kern w:val="0"/>
          <w:sz w:val="18"/>
          <w:szCs w:val="18"/>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b/>
          <w:bCs/>
          <w:color w:val="000000"/>
          <w:sz w:val="20"/>
          <w:szCs w:val="20"/>
        </w:rPr>
        <w:t>【专业必修课】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【《新闻传播伦理与法规教程》，陈绚著，中国人民大学出版社，2016年版】</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100" w:firstLineChars="50"/>
        <w:rPr>
          <w:color w:val="000000"/>
          <w:sz w:val="20"/>
          <w:szCs w:val="20"/>
        </w:rPr>
      </w:pPr>
      <w:r>
        <w:rPr>
          <w:rFonts w:hint="eastAsia"/>
          <w:color w:val="000000"/>
          <w:sz w:val="20"/>
          <w:szCs w:val="20"/>
        </w:rPr>
        <w:t>【《广告伦理与法规》，陈绚著，中国人民大学出版社，2015年版】</w:t>
      </w:r>
    </w:p>
    <w:p>
      <w:pPr>
        <w:snapToGrid w:val="0"/>
        <w:spacing w:line="288" w:lineRule="auto"/>
        <w:ind w:left="718" w:leftChars="342" w:firstLine="100" w:firstLineChars="50"/>
        <w:rPr>
          <w:color w:val="000000"/>
          <w:sz w:val="20"/>
          <w:szCs w:val="20"/>
        </w:rPr>
      </w:pPr>
      <w:r>
        <w:rPr>
          <w:rFonts w:hint="eastAsia"/>
          <w:color w:val="000000"/>
          <w:sz w:val="20"/>
          <w:szCs w:val="20"/>
        </w:rPr>
        <w:t>【《新闻传播法规与职业道德教程 第3版》，黄瑚主编；杨桃莲副主编，复旦大学出版社，2017年版】</w:t>
      </w:r>
    </w:p>
    <w:p>
      <w:pPr>
        <w:snapToGrid w:val="0"/>
        <w:spacing w:line="288" w:lineRule="auto"/>
        <w:ind w:left="718" w:leftChars="342" w:firstLine="100" w:firstLineChars="50"/>
        <w:rPr>
          <w:color w:val="000000"/>
          <w:szCs w:val="21"/>
        </w:rPr>
      </w:pPr>
      <w:r>
        <w:rPr>
          <w:rFonts w:hint="eastAsia"/>
          <w:color w:val="000000"/>
          <w:sz w:val="20"/>
          <w:szCs w:val="20"/>
        </w:rPr>
        <w:t>【《新闻伦理学简明教程》，蓝鸿文主编，中国人民大学出版社，最新版】</w:t>
      </w:r>
    </w:p>
    <w:p>
      <w:pPr>
        <w:snapToGrid w:val="0"/>
        <w:spacing w:line="288" w:lineRule="auto"/>
        <w:ind w:firstLine="394" w:firstLineChars="196"/>
        <w:rPr>
          <w:b/>
          <w:bCs/>
          <w:color w:val="000000"/>
          <w:sz w:val="20"/>
          <w:szCs w:val="20"/>
          <w:highlight w:val="yellow"/>
        </w:rPr>
      </w:pPr>
      <w:r>
        <w:rPr>
          <w:rFonts w:hint="eastAsia"/>
          <w:b/>
          <w:bCs/>
          <w:color w:val="000000"/>
          <w:sz w:val="20"/>
          <w:szCs w:val="20"/>
        </w:rPr>
        <w:t>课程网站网址：</w:t>
      </w:r>
    </w:p>
    <w:p>
      <w:pPr>
        <w:snapToGrid w:val="0"/>
        <w:spacing w:line="288" w:lineRule="auto"/>
        <w:ind w:firstLine="392" w:firstLineChars="196"/>
        <w:rPr>
          <w:color w:val="000000"/>
          <w:sz w:val="20"/>
          <w:szCs w:val="20"/>
          <w:highlight w:val="yellow"/>
        </w:rPr>
      </w:pPr>
      <w:r>
        <w:rPr>
          <w:color w:val="000000"/>
          <w:sz w:val="20"/>
          <w:szCs w:val="20"/>
        </w:rPr>
        <w:t>https://www.icourse163.org/course/CCNU-1002085010?from=searchPage&amp;outVendor=zw_mooc_pcssjg_</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w:t>
      </w:r>
      <w:r>
        <w:rPr>
          <w:rFonts w:hint="eastAsia"/>
          <w:color w:val="000000"/>
          <w:sz w:val="20"/>
          <w:szCs w:val="20"/>
        </w:rPr>
        <w:t>思想道德修养与法律基础 2110014 学分3分】</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themeColor="text1"/>
          <w:sz w:val="20"/>
          <w:szCs w:val="20"/>
        </w:rPr>
      </w:pPr>
      <w:r>
        <w:rPr>
          <w:rFonts w:hint="eastAsia"/>
          <w:color w:val="000000" w:themeColor="text1"/>
          <w:sz w:val="20"/>
          <w:szCs w:val="20"/>
        </w:rPr>
        <w:t>本课程的研究对象为媒介法规与伦理，即新闻传播工作者应遵守的职业道德和法律规范。无论是新闻生产中所涉及的采、写、编、评、播、导，还是广告中所涉及的文案、创意、策划，或者是媒介涉及的其他方方面面，职业道德无不渗透在每一个工作环节中。未来的媒体从业者，除了要遵循职业道德，也要熟知与行业有关的法律规范知识。本课程将针对上述环节中新闻传播从业者所涉及的议题，从媒介伦理思想、媒介自律与评价体系、新闻传播与及新闻传播业行政管理、新闻传播与国家安全、新闻传播与政府信息公开、舆论监督与司法独立平衡、传播与商业信息传播规范、传播与人格权、传播与著作权等主题内容入手，结合近年来社会影响力较大的案例，通过文献阅读、课堂讲解、学生课堂展示等方式，让学生掌握新闻传播行为的判断标准，正确看待媒体特别是互联网时代新媒体为社会带来的正面和负面影响，具备新闻传播从业者的基本伦理与法律规范知识，提高职业道德修养和法律意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本课程是新闻专业的专业必修课程之一。建议在大三或大四上学期开设。学生在修本课程前，已通过传播学概论、新闻学概论等课程，对本专业的基础理论有一定程度的掌握。而在本课程之后，学生将参加社会实践和实习。在理论学习基本结束、实践课程即将开始之前开设课程，能帮助学生强化对新闻传播职业道德和法规的基本认知，提高专业素质，为社会实践做好准备。</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p>
      <w:pPr>
        <w:ind w:firstLine="420" w:firstLineChars="200"/>
      </w:pPr>
      <w:r>
        <w:rPr>
          <w:rFonts w:hint="eastAsia"/>
        </w:rPr>
        <w:t>备注：LO=</w:t>
      </w:r>
      <w:r>
        <w:t>learning outcomes</w:t>
      </w:r>
      <w:r>
        <w:rPr>
          <w:rFonts w:hint="eastAsia"/>
        </w:rPr>
        <w:t>（学习成果）</w:t>
      </w:r>
    </w:p>
    <w:tbl>
      <w:tblPr>
        <w:tblStyle w:val="4"/>
        <w:tblW w:w="8210" w:type="dxa"/>
        <w:tblInd w:w="0" w:type="dxa"/>
        <w:shd w:val="clear" w:color="auto" w:fill="FFFFFF"/>
        <w:tblLayout w:type="autofit"/>
        <w:tblCellMar>
          <w:top w:w="0" w:type="dxa"/>
          <w:left w:w="0" w:type="dxa"/>
          <w:bottom w:w="0" w:type="dxa"/>
          <w:right w:w="0" w:type="dxa"/>
        </w:tblCellMar>
      </w:tblPr>
      <w:tblGrid>
        <w:gridCol w:w="786"/>
        <w:gridCol w:w="810"/>
        <w:gridCol w:w="5984"/>
        <w:gridCol w:w="630"/>
      </w:tblGrid>
      <w:tr>
        <w:tblPrEx>
          <w:tblCellMar>
            <w:top w:w="0" w:type="dxa"/>
            <w:left w:w="0" w:type="dxa"/>
            <w:bottom w:w="0" w:type="dxa"/>
            <w:right w:w="0" w:type="dxa"/>
          </w:tblCellMar>
        </w:tblPrEx>
        <w:trPr>
          <w:trHeight w:val="234"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hint="eastAsia" w:ascii="黑体" w:hAnsi="黑体" w:eastAsia="黑体" w:cs="Arial"/>
                <w:color w:val="333333"/>
                <w:kern w:val="0"/>
                <w:sz w:val="18"/>
                <w:szCs w:val="18"/>
              </w:rPr>
              <w:t>专业毕业要求</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hint="eastAsia" w:ascii="黑体" w:hAnsi="黑体" w:eastAsia="黑体" w:cs="Arial"/>
                <w:color w:val="333333"/>
                <w:kern w:val="0"/>
                <w:sz w:val="18"/>
                <w:szCs w:val="18"/>
              </w:rPr>
              <w:t>关联</w:t>
            </w:r>
          </w:p>
        </w:tc>
      </w:tr>
      <w:tr>
        <w:tblPrEx>
          <w:shd w:val="clear" w:color="auto" w:fill="FFFFFF"/>
          <w:tblCellMar>
            <w:top w:w="0" w:type="dxa"/>
            <w:left w:w="0" w:type="dxa"/>
            <w:bottom w:w="0" w:type="dxa"/>
            <w:right w:w="0" w:type="dxa"/>
          </w:tblCellMar>
        </w:tblPrEx>
        <w:trPr>
          <w:trHeight w:val="368"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LO111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倾听他人意见、尊重他人观点、分析他人需求。</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68"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LO112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应用书面或口头形式，阐释自己的观点，有效沟通。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293"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LO211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能根据需要确定学习目标，并设计学习计划。</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293"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LO212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能搜集、获取达到目标所需要的学习资源，实施学习计划、反思学习计划、持续改进，达到学习目标。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159"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L031</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新闻理论：掌握新闻学的核心理论、基本知识。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102"/>
              <w:jc w:val="left"/>
              <w:rPr>
                <w:rFonts w:ascii="Arial" w:hAnsi="Arial" w:cs="Arial"/>
                <w:color w:val="333333"/>
                <w:kern w:val="0"/>
                <w:sz w:val="23"/>
                <w:szCs w:val="23"/>
              </w:rPr>
            </w:pPr>
            <w:r>
              <w:rPr>
                <w:rFonts w:ascii="Arial" w:hAnsi="Arial" w:cs="Arial"/>
                <w:color w:val="000000"/>
                <w:kern w:val="0"/>
                <w:sz w:val="23"/>
                <w:szCs w:val="23"/>
              </w:rPr>
              <w:t> ●</w:t>
            </w:r>
          </w:p>
        </w:tc>
      </w:tr>
      <w:tr>
        <w:tblPrEx>
          <w:shd w:val="clear" w:color="auto" w:fill="FFFFFF"/>
          <w:tblCellMar>
            <w:top w:w="0" w:type="dxa"/>
            <w:left w:w="0" w:type="dxa"/>
            <w:bottom w:w="0" w:type="dxa"/>
            <w:right w:w="0" w:type="dxa"/>
          </w:tblCellMar>
        </w:tblPrEx>
        <w:trPr>
          <w:trHeight w:val="28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L032</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视频制作：掌握视频内容的策划、拍摄、后期制作，具备传播视觉化信息的基本能力。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243"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L033</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文本写作：根据不同传播渠道的规范要求，具备基本的文本写作能力。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4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L034</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新媒体运营：掌握互联网和移动互联网各类媒体工具的使用，具备新媒体的日常运营能力。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3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L035</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人文素养：对文学、绘画、影视、音乐、戏剧等文化艺术具有基本的鉴赏能力，体现出媒介内容制作的质量和品位。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77"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LO411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遵纪守法：遵守校纪校规，具备法律意识。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Arial" w:hAnsi="Arial" w:cs="Arial"/>
                <w:color w:val="000000"/>
                <w:kern w:val="0"/>
                <w:sz w:val="23"/>
                <w:szCs w:val="23"/>
              </w:rPr>
              <w:t>●</w:t>
            </w:r>
          </w:p>
        </w:tc>
      </w:tr>
      <w:tr>
        <w:tblPrEx>
          <w:shd w:val="clear" w:color="auto" w:fill="FFFFFF"/>
          <w:tblCellMar>
            <w:top w:w="0" w:type="dxa"/>
            <w:left w:w="0" w:type="dxa"/>
            <w:bottom w:w="0" w:type="dxa"/>
            <w:right w:w="0" w:type="dxa"/>
          </w:tblCellMar>
        </w:tblPrEx>
        <w:trPr>
          <w:trHeight w:val="46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LO412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诚实守信：为人诚实，信守承诺，尽职尽责。</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469"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LO413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爱岗敬业：了解与专业相关的法律法规，充分认识本专业就业岗位在社会经济中的作用和地位，在学习和社会实践中遵守职业规范，具备职业道德操守。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Arial" w:hAnsi="Arial" w:cs="Arial"/>
                <w:color w:val="000000"/>
                <w:kern w:val="0"/>
                <w:sz w:val="23"/>
                <w:szCs w:val="23"/>
              </w:rPr>
              <w:t>●</w:t>
            </w:r>
          </w:p>
        </w:tc>
      </w:tr>
      <w:tr>
        <w:tblPrEx>
          <w:shd w:val="clear" w:color="auto" w:fill="FFFFFF"/>
          <w:tblCellMar>
            <w:top w:w="0" w:type="dxa"/>
            <w:left w:w="0" w:type="dxa"/>
            <w:bottom w:w="0" w:type="dxa"/>
            <w:right w:w="0" w:type="dxa"/>
          </w:tblCellMar>
        </w:tblPrEx>
        <w:trPr>
          <w:trHeight w:val="393"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LO414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身心健康，能承受学习和生活中的压力。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68"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LO511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在集体活动中能主动担任自己的角色，与其他成员密切合作，共同完成任务。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469"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LO512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有质疑精神，能有逻辑的分析与批判。</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469"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LO513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能用创新的方法或者多种方法解决复杂问题或真实问题。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84"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LO514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了解行业前沿知识技术。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77"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LO611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能够根据需要进行专业文献检索。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r>
              <w:rPr>
                <w:rFonts w:ascii="Arial" w:hAnsi="Arial" w:cs="Arial"/>
                <w:color w:val="000000"/>
                <w:kern w:val="0"/>
                <w:sz w:val="23"/>
                <w:szCs w:val="23"/>
              </w:rPr>
              <w:t>●</w:t>
            </w:r>
          </w:p>
        </w:tc>
      </w:tr>
      <w:tr>
        <w:tblPrEx>
          <w:shd w:val="clear" w:color="auto" w:fill="FFFFFF"/>
          <w:tblCellMar>
            <w:top w:w="0" w:type="dxa"/>
            <w:left w:w="0" w:type="dxa"/>
            <w:bottom w:w="0" w:type="dxa"/>
            <w:right w:w="0" w:type="dxa"/>
          </w:tblCellMar>
        </w:tblPrEx>
        <w:trPr>
          <w:trHeight w:val="469"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LO612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能够使用适合的工具来搜集信息，并对信息加以分析、鉴别、判断与整合。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84"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LO613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熟练使用计算机，掌握常用办公软件。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77"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LO711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爱党爱国：了解祖国的优秀传统文化和革命历史，构建爱党爱国的理想信念。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469"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LO712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助人为乐：富于爱心，懂得感恩，具备助人为乐的品质。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46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LO713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奉献社会：具有服务企业、服务社会的意愿和行为能力。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ind w:firstLine="102"/>
              <w:jc w:val="left"/>
              <w:rPr>
                <w:rFonts w:ascii="Arial" w:hAnsi="Arial" w:cs="Arial"/>
                <w:color w:val="333333"/>
                <w:kern w:val="0"/>
                <w:sz w:val="23"/>
                <w:szCs w:val="23"/>
              </w:rPr>
            </w:pPr>
            <w:r>
              <w:rPr>
                <w:rFonts w:ascii="Arial" w:hAnsi="Arial" w:cs="Arial"/>
                <w:color w:val="000000"/>
                <w:kern w:val="0"/>
                <w:sz w:val="23"/>
                <w:szCs w:val="23"/>
              </w:rPr>
              <w:t> ●</w:t>
            </w:r>
          </w:p>
        </w:tc>
      </w:tr>
      <w:tr>
        <w:tblPrEx>
          <w:shd w:val="clear" w:color="auto" w:fill="FFFFFF"/>
          <w:tblCellMar>
            <w:top w:w="0" w:type="dxa"/>
            <w:left w:w="0" w:type="dxa"/>
            <w:bottom w:w="0" w:type="dxa"/>
            <w:right w:w="0" w:type="dxa"/>
          </w:tblCellMar>
        </w:tblPrEx>
        <w:trPr>
          <w:trHeight w:val="393"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LO714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爱护环境：具有爱护环境的意识和与自然和谐相处的环保理念。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368"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23"/>
                <w:szCs w:val="23"/>
              </w:rPr>
              <w:t>L081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L0811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具备外语表达沟通能力，达到本专业的要求。</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shd w:val="clear" w:color="auto" w:fill="FFFFFF"/>
          <w:tblCellMar>
            <w:top w:w="0" w:type="dxa"/>
            <w:left w:w="0" w:type="dxa"/>
            <w:bottom w:w="0" w:type="dxa"/>
            <w:right w:w="0" w:type="dxa"/>
          </w:tblCellMar>
        </w:tblPrEx>
        <w:trPr>
          <w:trHeight w:val="469"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L0812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理解其他国家历史文化，有跨文化交流能力。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r>
        <w:tblPrEx>
          <w:tblCellMar>
            <w:top w:w="0" w:type="dxa"/>
            <w:left w:w="0" w:type="dxa"/>
            <w:bottom w:w="0" w:type="dxa"/>
            <w:right w:w="0" w:type="dxa"/>
          </w:tblCellMar>
        </w:tblPrEx>
        <w:trPr>
          <w:trHeight w:val="393"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rPr>
                <w:rFonts w:ascii="Arial" w:hAnsi="Arial" w:cs="Arial"/>
                <w:color w:val="333333"/>
                <w:kern w:val="0"/>
                <w:sz w:val="23"/>
                <w:szCs w:val="23"/>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rFonts w:ascii="Arial" w:hAnsi="Arial" w:cs="Arial"/>
                <w:color w:val="333333"/>
                <w:kern w:val="0"/>
                <w:sz w:val="23"/>
                <w:szCs w:val="23"/>
              </w:rPr>
            </w:pPr>
            <w:r>
              <w:rPr>
                <w:rFonts w:ascii="Times New Roman" w:hAnsi="Times New Roman"/>
                <w:color w:val="000000"/>
                <w:kern w:val="0"/>
                <w:sz w:val="18"/>
                <w:szCs w:val="18"/>
              </w:rPr>
              <w:t>L0813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Arial" w:hAnsi="Arial" w:cs="Arial"/>
                <w:color w:val="333333"/>
                <w:kern w:val="0"/>
                <w:sz w:val="23"/>
                <w:szCs w:val="23"/>
              </w:rPr>
            </w:pPr>
            <w:r>
              <w:rPr>
                <w:rFonts w:ascii="Arial" w:hAnsi="Arial" w:cs="Arial"/>
                <w:color w:val="000000"/>
                <w:kern w:val="0"/>
                <w:sz w:val="18"/>
                <w:szCs w:val="18"/>
              </w:rPr>
              <w:t>有国际竞争与合作意识。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rFonts w:ascii="Arial" w:hAnsi="Arial" w:cs="Arial"/>
                <w:color w:val="333333"/>
                <w:kern w:val="0"/>
                <w:sz w:val="23"/>
                <w:szCs w:val="23"/>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4"/>
        <w:tblW w:w="8260" w:type="dxa"/>
        <w:tblInd w:w="0" w:type="dxa"/>
        <w:shd w:val="clear" w:color="auto" w:fill="FFFFFF"/>
        <w:tblLayout w:type="autofit"/>
        <w:tblCellMar>
          <w:top w:w="0" w:type="dxa"/>
          <w:left w:w="0" w:type="dxa"/>
          <w:bottom w:w="0" w:type="dxa"/>
          <w:right w:w="0" w:type="dxa"/>
        </w:tblCellMar>
      </w:tblPr>
      <w:tblGrid>
        <w:gridCol w:w="555"/>
        <w:gridCol w:w="1004"/>
        <w:gridCol w:w="2809"/>
        <w:gridCol w:w="2009"/>
        <w:gridCol w:w="1883"/>
      </w:tblGrid>
      <w:tr>
        <w:tblPrEx>
          <w:shd w:val="clear" w:color="auto" w:fill="FFFFFF"/>
          <w:tblCellMar>
            <w:top w:w="0" w:type="dxa"/>
            <w:left w:w="0" w:type="dxa"/>
            <w:bottom w:w="0" w:type="dxa"/>
            <w:right w:w="0" w:type="dxa"/>
          </w:tblCellMar>
        </w:tblPrEx>
        <w:trPr>
          <w:trHeight w:val="501" w:hRule="atLeast"/>
        </w:trPr>
        <w:tc>
          <w:tcPr>
            <w:tcW w:w="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序号</w:t>
            </w:r>
          </w:p>
        </w:tc>
        <w:tc>
          <w:tcPr>
            <w:tcW w:w="10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课程预期</w:t>
            </w:r>
          </w:p>
          <w:p>
            <w:pPr>
              <w:widowControl/>
              <w:jc w:val="center"/>
              <w:rPr>
                <w:color w:val="000000"/>
                <w:sz w:val="20"/>
                <w:szCs w:val="20"/>
              </w:rPr>
            </w:pPr>
            <w:r>
              <w:rPr>
                <w:color w:val="000000"/>
                <w:sz w:val="20"/>
                <w:szCs w:val="20"/>
              </w:rPr>
              <w:t>学习成果</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课程目标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教与学方式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评价方式</w:t>
            </w:r>
          </w:p>
        </w:tc>
      </w:tr>
      <w:tr>
        <w:tblPrEx>
          <w:shd w:val="clear" w:color="auto" w:fill="FFFFFF"/>
          <w:tblCellMar>
            <w:top w:w="0" w:type="dxa"/>
            <w:left w:w="0" w:type="dxa"/>
            <w:bottom w:w="0" w:type="dxa"/>
            <w:right w:w="0" w:type="dxa"/>
          </w:tblCellMar>
        </w:tblPrEx>
        <w:trPr>
          <w:trHeight w:val="5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L031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color w:val="000000"/>
                <w:sz w:val="20"/>
                <w:szCs w:val="20"/>
              </w:rPr>
            </w:pPr>
            <w:r>
              <w:rPr>
                <w:rFonts w:hint="eastAsia"/>
                <w:color w:val="000000"/>
                <w:sz w:val="20"/>
                <w:szCs w:val="20"/>
              </w:rPr>
              <w:t>掌握新闻学的核心理论、基本知识。</w:t>
            </w:r>
          </w:p>
        </w:tc>
        <w:tc>
          <w:tcPr>
            <w:tcW w:w="20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讲授法</w:t>
            </w:r>
          </w:p>
          <w:p>
            <w:pPr>
              <w:widowControl/>
              <w:jc w:val="center"/>
              <w:rPr>
                <w:color w:val="000000"/>
                <w:sz w:val="20"/>
                <w:szCs w:val="20"/>
              </w:rPr>
            </w:pPr>
            <w:r>
              <w:rPr>
                <w:rFonts w:hint="eastAsia"/>
                <w:color w:val="000000"/>
                <w:sz w:val="20"/>
                <w:szCs w:val="20"/>
              </w:rPr>
              <w:t>案例教学法</w:t>
            </w: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作业、讨论、</w:t>
            </w:r>
            <w:r>
              <w:rPr>
                <w:color w:val="000000"/>
                <w:sz w:val="20"/>
                <w:szCs w:val="20"/>
              </w:rPr>
              <w:t>PPT</w:t>
            </w:r>
            <w:r>
              <w:rPr>
                <w:rFonts w:hint="eastAsia"/>
                <w:color w:val="000000"/>
                <w:sz w:val="20"/>
                <w:szCs w:val="20"/>
              </w:rPr>
              <w:t>展示</w:t>
            </w:r>
          </w:p>
        </w:tc>
      </w:tr>
      <w:tr>
        <w:tblPrEx>
          <w:shd w:val="clear" w:color="auto" w:fill="FFFFFF"/>
          <w:tblCellMar>
            <w:top w:w="0" w:type="dxa"/>
            <w:left w:w="0" w:type="dxa"/>
            <w:bottom w:w="0" w:type="dxa"/>
            <w:right w:w="0" w:type="dxa"/>
          </w:tblCellMar>
        </w:tblPrEx>
        <w:trPr>
          <w:trHeight w:val="50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LO411</w:t>
            </w:r>
          </w:p>
        </w:tc>
        <w:tc>
          <w:tcPr>
            <w:tcW w:w="28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color w:val="000000"/>
                <w:sz w:val="20"/>
                <w:szCs w:val="20"/>
              </w:rPr>
            </w:pPr>
            <w:r>
              <w:rPr>
                <w:rFonts w:hint="eastAsia"/>
                <w:color w:val="000000"/>
                <w:sz w:val="20"/>
                <w:szCs w:val="20"/>
              </w:rPr>
              <w:t>能够在团队合作中主动遵纪守法：遵守校纪校规，具备法律意识。</w:t>
            </w:r>
          </w:p>
        </w:tc>
        <w:tc>
          <w:tcPr>
            <w:tcW w:w="20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讲授法</w:t>
            </w:r>
          </w:p>
          <w:p>
            <w:pPr>
              <w:widowControl/>
              <w:jc w:val="center"/>
              <w:rPr>
                <w:color w:val="000000"/>
                <w:sz w:val="20"/>
                <w:szCs w:val="20"/>
              </w:rPr>
            </w:pP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综合评价</w:t>
            </w:r>
          </w:p>
        </w:tc>
      </w:tr>
      <w:tr>
        <w:tblPrEx>
          <w:shd w:val="clear" w:color="auto" w:fill="FFFFFF"/>
          <w:tblCellMar>
            <w:top w:w="0" w:type="dxa"/>
            <w:left w:w="0" w:type="dxa"/>
            <w:bottom w:w="0" w:type="dxa"/>
            <w:right w:w="0" w:type="dxa"/>
          </w:tblCellMar>
        </w:tblPrEx>
        <w:trPr>
          <w:trHeight w:val="759"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LO413</w:t>
            </w:r>
          </w:p>
        </w:tc>
        <w:tc>
          <w:tcPr>
            <w:tcW w:w="28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color w:val="000000"/>
                <w:sz w:val="20"/>
                <w:szCs w:val="20"/>
              </w:rPr>
            </w:pPr>
            <w:r>
              <w:rPr>
                <w:rFonts w:hint="eastAsia"/>
                <w:color w:val="000000"/>
                <w:sz w:val="20"/>
                <w:szCs w:val="20"/>
              </w:rPr>
              <w:t>了解与专业相关的法律法规，充分认识本专业就业岗位在社会经济中的作用和地位，在学习和社会实践中遵守职业规范，具备职业道德操守。</w:t>
            </w:r>
          </w:p>
        </w:tc>
        <w:tc>
          <w:tcPr>
            <w:tcW w:w="20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讲授法</w:t>
            </w:r>
          </w:p>
          <w:p>
            <w:pPr>
              <w:widowControl/>
              <w:jc w:val="center"/>
              <w:rPr>
                <w:color w:val="000000"/>
                <w:sz w:val="20"/>
                <w:szCs w:val="20"/>
              </w:rPr>
            </w:pPr>
            <w:r>
              <w:rPr>
                <w:rFonts w:hint="eastAsia"/>
                <w:color w:val="000000"/>
                <w:sz w:val="20"/>
                <w:szCs w:val="20"/>
              </w:rPr>
              <w:t>案例教学法</w:t>
            </w:r>
          </w:p>
          <w:p>
            <w:pPr>
              <w:widowControl/>
              <w:jc w:val="center"/>
              <w:rPr>
                <w:color w:val="000000"/>
                <w:sz w:val="20"/>
                <w:szCs w:val="20"/>
              </w:rPr>
            </w:pP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小组作业展示</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LO611</w:t>
            </w:r>
          </w:p>
        </w:tc>
        <w:tc>
          <w:tcPr>
            <w:tcW w:w="28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color w:val="000000"/>
                <w:sz w:val="20"/>
                <w:szCs w:val="20"/>
              </w:rPr>
            </w:pPr>
            <w:r>
              <w:rPr>
                <w:rFonts w:hint="eastAsia"/>
                <w:color w:val="000000"/>
                <w:sz w:val="20"/>
                <w:szCs w:val="20"/>
              </w:rPr>
              <w:t>能够根据需要进行专业文献检索。</w:t>
            </w:r>
          </w:p>
        </w:tc>
        <w:tc>
          <w:tcPr>
            <w:tcW w:w="20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讲授法</w:t>
            </w:r>
          </w:p>
          <w:p>
            <w:pPr>
              <w:widowControl/>
              <w:jc w:val="center"/>
              <w:rPr>
                <w:color w:val="000000"/>
                <w:sz w:val="20"/>
                <w:szCs w:val="20"/>
              </w:rPr>
            </w:pPr>
            <w:r>
              <w:rPr>
                <w:rFonts w:hint="eastAsia"/>
                <w:color w:val="000000"/>
                <w:sz w:val="20"/>
                <w:szCs w:val="20"/>
              </w:rPr>
              <w:t>文献研讨</w:t>
            </w: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提问、个人作业</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color w:val="000000"/>
                <w:sz w:val="20"/>
                <w:szCs w:val="20"/>
              </w:rPr>
              <w:t>LO713</w:t>
            </w:r>
          </w:p>
        </w:tc>
        <w:tc>
          <w:tcPr>
            <w:tcW w:w="28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rPr>
                <w:color w:val="000000"/>
                <w:sz w:val="20"/>
                <w:szCs w:val="20"/>
              </w:rPr>
            </w:pPr>
            <w:r>
              <w:rPr>
                <w:rFonts w:hint="eastAsia"/>
                <w:color w:val="000000"/>
                <w:sz w:val="20"/>
                <w:szCs w:val="20"/>
              </w:rPr>
              <w:t>奉献社会：具有服务企业、服务社会的意愿和行为能力。</w:t>
            </w:r>
          </w:p>
        </w:tc>
        <w:tc>
          <w:tcPr>
            <w:tcW w:w="200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案例分析法、情景展示法</w:t>
            </w:r>
          </w:p>
        </w:tc>
        <w:tc>
          <w:tcPr>
            <w:tcW w:w="1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center"/>
              <w:rPr>
                <w:color w:val="000000"/>
                <w:sz w:val="20"/>
                <w:szCs w:val="20"/>
              </w:rPr>
            </w:pPr>
            <w:r>
              <w:rPr>
                <w:rFonts w:hint="eastAsia"/>
                <w:color w:val="000000"/>
                <w:sz w:val="20"/>
                <w:szCs w:val="20"/>
              </w:rPr>
              <w:t>综合评价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rPr>
          <w:rFonts w:ascii="宋体" w:hAnsi="宋体"/>
          <w:sz w:val="20"/>
          <w:szCs w:val="20"/>
        </w:rPr>
      </w:pPr>
      <w:r>
        <w:rPr>
          <w:rFonts w:hint="eastAsia" w:ascii="宋体" w:hAnsi="宋体"/>
          <w:sz w:val="20"/>
          <w:szCs w:val="20"/>
        </w:rPr>
        <w:t xml:space="preserve">专题一 绪论 </w:t>
      </w:r>
      <w:r>
        <w:rPr>
          <w:rFonts w:ascii="宋体" w:hAnsi="宋体"/>
          <w:sz w:val="20"/>
          <w:szCs w:val="20"/>
        </w:rPr>
        <w:t xml:space="preserve">       </w:t>
      </w:r>
      <w:r>
        <w:rPr>
          <w:rFonts w:hint="eastAsia" w:ascii="宋体" w:hAnsi="宋体"/>
          <w:sz w:val="20"/>
          <w:szCs w:val="20"/>
        </w:rPr>
        <w:t>理论课时数：4</w:t>
      </w:r>
      <w:r>
        <w:rPr>
          <w:rFonts w:ascii="宋体" w:hAnsi="宋体"/>
          <w:sz w:val="20"/>
          <w:szCs w:val="20"/>
        </w:rPr>
        <w:t xml:space="preserve">    </w:t>
      </w:r>
      <w:r>
        <w:rPr>
          <w:rFonts w:hint="eastAsia" w:ascii="宋体" w:hAnsi="宋体"/>
          <w:sz w:val="20"/>
          <w:szCs w:val="20"/>
        </w:rPr>
        <w:t>实践课时数：0</w:t>
      </w:r>
    </w:p>
    <w:p>
      <w:pPr>
        <w:snapToGrid w:val="0"/>
        <w:spacing w:line="288" w:lineRule="auto"/>
        <w:rPr>
          <w:rFonts w:ascii="宋体" w:hAnsi="宋体"/>
          <w:sz w:val="20"/>
          <w:szCs w:val="20"/>
        </w:rPr>
      </w:pPr>
      <w:r>
        <w:rPr>
          <w:rFonts w:hint="eastAsia" w:ascii="宋体" w:hAnsi="宋体"/>
          <w:sz w:val="20"/>
          <w:szCs w:val="20"/>
        </w:rPr>
        <w:t>了解本课程的学科性质和学习要求及方法；理解“法”“伦理”的基本含义，掌握新闻伦理基本含义，理解新闻伦理的维度、影响及作用；认识新闻规范伦理的实现以及新闻道德实现的条件；熟悉了解记者品德养成。</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 xml:space="preserve">专题二 媒介伦理思想、自律与评价体系 </w:t>
      </w:r>
      <w:r>
        <w:rPr>
          <w:rFonts w:ascii="宋体" w:hAnsi="宋体"/>
          <w:sz w:val="20"/>
          <w:szCs w:val="20"/>
        </w:rPr>
        <w:t xml:space="preserve">   </w:t>
      </w:r>
      <w:r>
        <w:rPr>
          <w:rFonts w:hint="eastAsia" w:ascii="宋体" w:hAnsi="宋体"/>
          <w:sz w:val="20"/>
          <w:szCs w:val="20"/>
        </w:rPr>
        <w:t>理论课时数：4    实践课时数：0</w:t>
      </w:r>
    </w:p>
    <w:p>
      <w:pPr>
        <w:snapToGrid w:val="0"/>
        <w:spacing w:line="288" w:lineRule="auto"/>
        <w:rPr>
          <w:rFonts w:ascii="宋体" w:hAnsi="宋体"/>
          <w:sz w:val="20"/>
          <w:szCs w:val="20"/>
        </w:rPr>
      </w:pPr>
      <w:r>
        <w:rPr>
          <w:rFonts w:hint="eastAsia" w:ascii="宋体" w:hAnsi="宋体"/>
          <w:sz w:val="20"/>
          <w:szCs w:val="20"/>
        </w:rPr>
        <w:t>知道媒介伦理思维、目标、思想，传播者道德自律；熟知良心和名誉对于伦理规范的影响。</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 xml:space="preserve">专题三 新闻传播法概述及新闻传播业行政管理 </w:t>
      </w:r>
      <w:r>
        <w:rPr>
          <w:rFonts w:ascii="宋体" w:hAnsi="宋体"/>
          <w:sz w:val="20"/>
          <w:szCs w:val="20"/>
        </w:rPr>
        <w:t xml:space="preserve">   </w:t>
      </w:r>
      <w:bookmarkStart w:id="1" w:name="_Hlk115033312"/>
      <w:r>
        <w:rPr>
          <w:rFonts w:hint="eastAsia" w:ascii="宋体" w:hAnsi="宋体"/>
          <w:sz w:val="20"/>
          <w:szCs w:val="20"/>
        </w:rPr>
        <w:t>理论课时数：4    实践课时数：0</w:t>
      </w:r>
    </w:p>
    <w:bookmarkEnd w:id="1"/>
    <w:p>
      <w:pPr>
        <w:snapToGrid w:val="0"/>
        <w:spacing w:line="288" w:lineRule="auto"/>
        <w:rPr>
          <w:rFonts w:ascii="宋体" w:hAnsi="宋体"/>
          <w:sz w:val="20"/>
          <w:szCs w:val="20"/>
        </w:rPr>
      </w:pPr>
      <w:r>
        <w:rPr>
          <w:rFonts w:hint="eastAsia" w:ascii="宋体" w:hAnsi="宋体"/>
          <w:sz w:val="20"/>
          <w:szCs w:val="20"/>
        </w:rPr>
        <w:t>知道新闻传播法的概念及渊源，熟悉表达自由以及新闻从业者的权利；熟悉新闻传播业行政管理。</w:t>
      </w:r>
    </w:p>
    <w:p>
      <w:pPr>
        <w:snapToGrid w:val="0"/>
        <w:spacing w:line="288" w:lineRule="auto"/>
        <w:ind w:right="26"/>
        <w:rPr>
          <w:sz w:val="20"/>
          <w:szCs w:val="20"/>
        </w:rPr>
      </w:pPr>
    </w:p>
    <w:p>
      <w:pPr>
        <w:snapToGrid w:val="0"/>
        <w:spacing w:line="288" w:lineRule="auto"/>
        <w:ind w:right="26"/>
        <w:rPr>
          <w:sz w:val="20"/>
          <w:szCs w:val="20"/>
        </w:rPr>
      </w:pPr>
      <w:r>
        <w:rPr>
          <w:rFonts w:hint="eastAsia"/>
          <w:sz w:val="20"/>
          <w:szCs w:val="20"/>
        </w:rPr>
        <w:t xml:space="preserve">专题四 新闻传播与国家安全、政府信息公开 </w:t>
      </w:r>
      <w:r>
        <w:rPr>
          <w:sz w:val="20"/>
          <w:szCs w:val="20"/>
        </w:rPr>
        <w:t xml:space="preserve">   </w:t>
      </w:r>
      <w:r>
        <w:rPr>
          <w:rFonts w:hint="eastAsia"/>
          <w:sz w:val="20"/>
          <w:szCs w:val="20"/>
        </w:rPr>
        <w:t>理论课时数：4    实践课时数：0</w:t>
      </w:r>
    </w:p>
    <w:p>
      <w:pPr>
        <w:snapToGrid w:val="0"/>
        <w:spacing w:line="288" w:lineRule="auto"/>
        <w:ind w:right="26"/>
        <w:rPr>
          <w:sz w:val="20"/>
          <w:szCs w:val="20"/>
        </w:rPr>
      </w:pPr>
      <w:r>
        <w:rPr>
          <w:rFonts w:hint="eastAsia"/>
          <w:sz w:val="20"/>
          <w:szCs w:val="20"/>
        </w:rPr>
        <w:t>理解煽动、国家秘密、国家保密制度的含义，清楚政府信息公开制度的内容及意义。</w:t>
      </w:r>
    </w:p>
    <w:p>
      <w:pPr>
        <w:snapToGrid w:val="0"/>
        <w:spacing w:line="288" w:lineRule="auto"/>
        <w:ind w:right="26"/>
        <w:rPr>
          <w:sz w:val="20"/>
          <w:szCs w:val="20"/>
        </w:rPr>
      </w:pPr>
    </w:p>
    <w:p>
      <w:pPr>
        <w:snapToGrid w:val="0"/>
        <w:spacing w:line="288" w:lineRule="auto"/>
        <w:ind w:right="26"/>
        <w:rPr>
          <w:sz w:val="20"/>
          <w:szCs w:val="20"/>
        </w:rPr>
      </w:pPr>
      <w:r>
        <w:rPr>
          <w:rFonts w:hint="eastAsia"/>
          <w:sz w:val="20"/>
          <w:szCs w:val="20"/>
        </w:rPr>
        <w:t xml:space="preserve">专题五 舆论监督与司法独立平衡 </w:t>
      </w:r>
      <w:r>
        <w:rPr>
          <w:sz w:val="20"/>
          <w:szCs w:val="20"/>
        </w:rPr>
        <w:t xml:space="preserve">    </w:t>
      </w:r>
      <w:r>
        <w:rPr>
          <w:rFonts w:hint="eastAsia"/>
          <w:sz w:val="20"/>
          <w:szCs w:val="20"/>
        </w:rPr>
        <w:t>理论课时数：4    实践课时数：0</w:t>
      </w:r>
    </w:p>
    <w:p>
      <w:pPr>
        <w:snapToGrid w:val="0"/>
        <w:spacing w:line="288" w:lineRule="auto"/>
        <w:ind w:right="26"/>
        <w:rPr>
          <w:sz w:val="20"/>
          <w:szCs w:val="20"/>
        </w:rPr>
      </w:pPr>
      <w:r>
        <w:rPr>
          <w:rFonts w:hint="eastAsia"/>
          <w:sz w:val="20"/>
          <w:szCs w:val="20"/>
        </w:rPr>
        <w:t>理解司法公开的内容、意义、基本原则、基本要求及问题，认识媒体与司法独立的关系，厘清媒体报道和舆论与司法审判的关系，分析新闻传播与司法冲突的原因，掌握司法独立平衡的条件。</w:t>
      </w:r>
    </w:p>
    <w:p>
      <w:pPr>
        <w:snapToGrid w:val="0"/>
        <w:spacing w:line="288" w:lineRule="auto"/>
        <w:ind w:right="26"/>
        <w:rPr>
          <w:sz w:val="20"/>
          <w:szCs w:val="20"/>
        </w:rPr>
      </w:pPr>
    </w:p>
    <w:p>
      <w:pPr>
        <w:snapToGrid w:val="0"/>
        <w:spacing w:line="288" w:lineRule="auto"/>
        <w:ind w:right="26"/>
        <w:rPr>
          <w:sz w:val="20"/>
          <w:szCs w:val="20"/>
        </w:rPr>
      </w:pPr>
      <w:r>
        <w:rPr>
          <w:rFonts w:hint="eastAsia"/>
          <w:sz w:val="20"/>
          <w:szCs w:val="20"/>
        </w:rPr>
        <w:t xml:space="preserve">专题六 商业信息传播规范 </w:t>
      </w:r>
      <w:r>
        <w:rPr>
          <w:sz w:val="20"/>
          <w:szCs w:val="20"/>
        </w:rPr>
        <w:t xml:space="preserve">   </w:t>
      </w:r>
      <w:r>
        <w:rPr>
          <w:rFonts w:hint="eastAsia"/>
          <w:sz w:val="20"/>
          <w:szCs w:val="20"/>
        </w:rPr>
        <w:t>理论课时数：4    实践课时数：0</w:t>
      </w:r>
    </w:p>
    <w:p>
      <w:pPr>
        <w:snapToGrid w:val="0"/>
        <w:spacing w:line="288" w:lineRule="auto"/>
        <w:ind w:right="26"/>
        <w:rPr>
          <w:sz w:val="20"/>
          <w:szCs w:val="20"/>
        </w:rPr>
      </w:pPr>
      <w:r>
        <w:rPr>
          <w:rFonts w:hint="eastAsia"/>
          <w:sz w:val="20"/>
          <w:szCs w:val="20"/>
        </w:rPr>
        <w:t>知道不正当竞争行为的含义及行为表现；了解证券信息规范，熟悉广告信息规范。本专题的难点在于熟练运用具体行业实践中的规范。</w:t>
      </w:r>
    </w:p>
    <w:p>
      <w:pPr>
        <w:snapToGrid w:val="0"/>
        <w:spacing w:line="288" w:lineRule="auto"/>
        <w:ind w:right="26"/>
        <w:rPr>
          <w:sz w:val="20"/>
          <w:szCs w:val="20"/>
        </w:rPr>
      </w:pPr>
    </w:p>
    <w:p>
      <w:pPr>
        <w:snapToGrid w:val="0"/>
        <w:spacing w:line="288" w:lineRule="auto"/>
        <w:ind w:right="26"/>
        <w:rPr>
          <w:sz w:val="20"/>
          <w:szCs w:val="20"/>
        </w:rPr>
      </w:pPr>
      <w:r>
        <w:rPr>
          <w:rFonts w:hint="eastAsia"/>
          <w:sz w:val="20"/>
          <w:szCs w:val="20"/>
        </w:rPr>
        <w:t xml:space="preserve">专题七 传播与人格权 </w:t>
      </w:r>
      <w:r>
        <w:rPr>
          <w:sz w:val="20"/>
          <w:szCs w:val="20"/>
        </w:rPr>
        <w:t xml:space="preserve">    </w:t>
      </w:r>
      <w:r>
        <w:rPr>
          <w:rFonts w:hint="eastAsia"/>
          <w:sz w:val="20"/>
          <w:szCs w:val="20"/>
        </w:rPr>
        <w:t>理论课时数：4    实践课时数：0</w:t>
      </w:r>
    </w:p>
    <w:p>
      <w:pPr>
        <w:snapToGrid w:val="0"/>
        <w:spacing w:line="288" w:lineRule="auto"/>
        <w:ind w:right="26"/>
        <w:rPr>
          <w:sz w:val="20"/>
          <w:szCs w:val="20"/>
        </w:rPr>
      </w:pPr>
      <w:r>
        <w:rPr>
          <w:rFonts w:hint="eastAsia"/>
          <w:sz w:val="20"/>
          <w:szCs w:val="20"/>
        </w:rPr>
        <w:t>知道人格权的概念和内容，理解传播侵权的特点；区分名誉权、隐私权、肖像权的含义、具体内容以及侵害其权利的方式、抗辩和排除。</w:t>
      </w:r>
    </w:p>
    <w:p>
      <w:pPr>
        <w:snapToGrid w:val="0"/>
        <w:spacing w:line="288" w:lineRule="auto"/>
        <w:ind w:right="26"/>
        <w:rPr>
          <w:sz w:val="20"/>
          <w:szCs w:val="20"/>
        </w:rPr>
      </w:pPr>
    </w:p>
    <w:p>
      <w:pPr>
        <w:snapToGrid w:val="0"/>
        <w:spacing w:line="288" w:lineRule="auto"/>
        <w:ind w:right="26"/>
        <w:rPr>
          <w:sz w:val="20"/>
          <w:szCs w:val="20"/>
        </w:rPr>
      </w:pPr>
      <w:r>
        <w:rPr>
          <w:rFonts w:hint="eastAsia"/>
          <w:sz w:val="20"/>
          <w:szCs w:val="20"/>
        </w:rPr>
        <w:t xml:space="preserve">专题八 传播与著作权 </w:t>
      </w:r>
      <w:r>
        <w:rPr>
          <w:sz w:val="20"/>
          <w:szCs w:val="20"/>
        </w:rPr>
        <w:t xml:space="preserve">    </w:t>
      </w:r>
      <w:r>
        <w:rPr>
          <w:rFonts w:hint="eastAsia"/>
          <w:sz w:val="20"/>
          <w:szCs w:val="20"/>
        </w:rPr>
        <w:t>理论课时数：4    实践课时数：0</w:t>
      </w:r>
    </w:p>
    <w:p>
      <w:pPr>
        <w:snapToGrid w:val="0"/>
        <w:spacing w:line="288" w:lineRule="auto"/>
        <w:ind w:right="26"/>
        <w:rPr>
          <w:sz w:val="20"/>
          <w:szCs w:val="20"/>
        </w:rPr>
      </w:pPr>
      <w:r>
        <w:rPr>
          <w:rFonts w:hint="eastAsia"/>
          <w:sz w:val="20"/>
          <w:szCs w:val="20"/>
        </w:rPr>
        <w:t>知道著作权的含义法律关系的要素、客体、内容等，认识传播者的邻接权，把握公共利益的平衡，熟悉著作权的限制、侵权</w:t>
      </w: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七、课内实验名称及基本要求（无）</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七、实践环节各阶段名称及基本要求（无）</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期终测试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课堂互动</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读书报告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小组作业展示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撰写人：杨丹妞    系主任审核签名：</w:t>
      </w:r>
      <w:r>
        <w:rPr>
          <w:rFonts w:hint="eastAsia"/>
          <w:sz w:val="28"/>
          <w:szCs w:val="28"/>
          <w:lang w:val="en-US" w:eastAsia="zh-CN"/>
        </w:rPr>
        <w:t>郑潇</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202209</w:t>
      </w:r>
      <w:bookmarkStart w:id="2" w:name="_GoBack"/>
      <w:bookmarkEnd w:id="2"/>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0NmVhYjhlNDEyMWQyZGYxZWFjN2UwY2ZhNzNiNWUifQ=="/>
  </w:docVars>
  <w:rsids>
    <w:rsidRoot w:val="00B7651F"/>
    <w:rsid w:val="00056A55"/>
    <w:rsid w:val="00091423"/>
    <w:rsid w:val="000B7EA0"/>
    <w:rsid w:val="001072BC"/>
    <w:rsid w:val="00120A2F"/>
    <w:rsid w:val="00123A93"/>
    <w:rsid w:val="00133FCC"/>
    <w:rsid w:val="001D5962"/>
    <w:rsid w:val="002177E0"/>
    <w:rsid w:val="00256B39"/>
    <w:rsid w:val="0026033C"/>
    <w:rsid w:val="002E3721"/>
    <w:rsid w:val="00313BBA"/>
    <w:rsid w:val="0032602E"/>
    <w:rsid w:val="003367AE"/>
    <w:rsid w:val="003A3613"/>
    <w:rsid w:val="003B1258"/>
    <w:rsid w:val="004055DD"/>
    <w:rsid w:val="004100B0"/>
    <w:rsid w:val="00443E4B"/>
    <w:rsid w:val="0045491A"/>
    <w:rsid w:val="00481E75"/>
    <w:rsid w:val="005253AB"/>
    <w:rsid w:val="005467DC"/>
    <w:rsid w:val="00553D03"/>
    <w:rsid w:val="005606AE"/>
    <w:rsid w:val="005924EA"/>
    <w:rsid w:val="005B2B6D"/>
    <w:rsid w:val="005B4B4E"/>
    <w:rsid w:val="005E2C84"/>
    <w:rsid w:val="005E5373"/>
    <w:rsid w:val="005F33C4"/>
    <w:rsid w:val="00615AF5"/>
    <w:rsid w:val="00624FE1"/>
    <w:rsid w:val="00646B5E"/>
    <w:rsid w:val="00661BCF"/>
    <w:rsid w:val="007208D6"/>
    <w:rsid w:val="007E564E"/>
    <w:rsid w:val="007F2447"/>
    <w:rsid w:val="007F3300"/>
    <w:rsid w:val="008A6E8B"/>
    <w:rsid w:val="008B397C"/>
    <w:rsid w:val="008B47F4"/>
    <w:rsid w:val="00900019"/>
    <w:rsid w:val="00922412"/>
    <w:rsid w:val="009503D8"/>
    <w:rsid w:val="0099063E"/>
    <w:rsid w:val="009E50B4"/>
    <w:rsid w:val="00A528E2"/>
    <w:rsid w:val="00A75004"/>
    <w:rsid w:val="00A769B1"/>
    <w:rsid w:val="00A837D5"/>
    <w:rsid w:val="00AB2B30"/>
    <w:rsid w:val="00AC4C45"/>
    <w:rsid w:val="00AD73A0"/>
    <w:rsid w:val="00B02E8D"/>
    <w:rsid w:val="00B1238F"/>
    <w:rsid w:val="00B26A6C"/>
    <w:rsid w:val="00B46F21"/>
    <w:rsid w:val="00B511A5"/>
    <w:rsid w:val="00B736A7"/>
    <w:rsid w:val="00B7651F"/>
    <w:rsid w:val="00BC4D8A"/>
    <w:rsid w:val="00C406E0"/>
    <w:rsid w:val="00C56E09"/>
    <w:rsid w:val="00CA074B"/>
    <w:rsid w:val="00CF096B"/>
    <w:rsid w:val="00CF6CA2"/>
    <w:rsid w:val="00E16D30"/>
    <w:rsid w:val="00E33169"/>
    <w:rsid w:val="00E70904"/>
    <w:rsid w:val="00ED14D4"/>
    <w:rsid w:val="00EF3C68"/>
    <w:rsid w:val="00EF44B1"/>
    <w:rsid w:val="00EF5422"/>
    <w:rsid w:val="00F35AA0"/>
    <w:rsid w:val="00F55582"/>
    <w:rsid w:val="016E63C2"/>
    <w:rsid w:val="024B0C39"/>
    <w:rsid w:val="0A8128A6"/>
    <w:rsid w:val="0BF32A1B"/>
    <w:rsid w:val="10BD2C22"/>
    <w:rsid w:val="22987C80"/>
    <w:rsid w:val="24192CCC"/>
    <w:rsid w:val="384E6E0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546</Words>
  <Characters>3118</Characters>
  <Lines>25</Lines>
  <Paragraphs>7</Paragraphs>
  <TotalTime>135</TotalTime>
  <ScaleCrop>false</ScaleCrop>
  <LinksUpToDate>false</LinksUpToDate>
  <CharactersWithSpaces>3657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酒鬼猫猫</cp:lastModifiedBy>
  <dcterms:modified xsi:type="dcterms:W3CDTF">2022-10-31T06:33:30Z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DB2D62010A39483482C4C0D1F3E3A167</vt:lpwstr>
  </property>
</Properties>
</file>