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left"/>
        <w:rPr>
          <w:rFonts w:ascii="黑体" w:hAnsi="宋体" w:eastAsia="黑体"/>
          <w:bCs/>
          <w:kern w:val="0"/>
          <w:sz w:val="32"/>
          <w:szCs w:val="32"/>
          <w:highlight w:val="none"/>
        </w:rPr>
      </w:pPr>
    </w:p>
    <w:p>
      <w:pPr>
        <w:spacing w:line="288" w:lineRule="auto"/>
        <w:jc w:val="center"/>
        <w:rPr>
          <w:b/>
          <w:sz w:val="28"/>
          <w:szCs w:val="30"/>
          <w:highlight w:val="none"/>
        </w:rPr>
      </w:pPr>
      <w:r>
        <w:rPr>
          <w:rFonts w:hint="eastAsia"/>
          <w:b/>
          <w:sz w:val="28"/>
          <w:szCs w:val="30"/>
          <w:highlight w:val="none"/>
        </w:rPr>
        <w:t>【</w:t>
      </w:r>
      <w:r>
        <w:rPr>
          <w:rFonts w:hint="eastAsia"/>
          <w:b/>
          <w:sz w:val="28"/>
          <w:szCs w:val="30"/>
          <w:highlight w:val="none"/>
          <w:lang w:val="en-US" w:eastAsia="zh-CN"/>
        </w:rPr>
        <w:t>新闻传播史</w:t>
      </w:r>
      <w:r>
        <w:rPr>
          <w:rFonts w:hint="eastAsia"/>
          <w:b/>
          <w:sz w:val="28"/>
          <w:szCs w:val="30"/>
          <w:highlight w:val="none"/>
        </w:rPr>
        <w:t>】</w:t>
      </w:r>
    </w:p>
    <w:p>
      <w:pPr>
        <w:shd w:val="clear" w:color="auto" w:fill="F5F5F5"/>
        <w:jc w:val="center"/>
        <w:textAlignment w:val="top"/>
        <w:rPr>
          <w:rFonts w:ascii="Arial" w:hAnsi="Arial" w:cs="Arial"/>
          <w:color w:val="888888"/>
          <w:kern w:val="0"/>
          <w:sz w:val="20"/>
          <w:szCs w:val="20"/>
          <w:highlight w:val="none"/>
        </w:rPr>
      </w:pPr>
      <w:r>
        <w:rPr>
          <w:rFonts w:hint="eastAsia"/>
          <w:b/>
          <w:sz w:val="28"/>
          <w:szCs w:val="30"/>
          <w:highlight w:val="none"/>
        </w:rPr>
        <w:t>【</w:t>
      </w:r>
      <w:r>
        <w:rPr>
          <w:rFonts w:hint="eastAsia"/>
          <w:b/>
          <w:sz w:val="24"/>
          <w:highlight w:val="none"/>
          <w:lang w:val="en-US" w:eastAsia="zh-CN"/>
        </w:rPr>
        <w:t>History of Journalism and Communication</w:t>
      </w:r>
      <w:r>
        <w:rPr>
          <w:rFonts w:hint="eastAsia"/>
          <w:b/>
          <w:sz w:val="28"/>
          <w:szCs w:val="30"/>
          <w:highlight w:val="none"/>
        </w:rPr>
        <w:t>】</w:t>
      </w:r>
      <w:bookmarkStart w:id="0" w:name="a2"/>
      <w:bookmarkEnd w:id="0"/>
    </w:p>
    <w:p>
      <w:pPr>
        <w:spacing w:beforeLines="50" w:afterLines="50" w:line="288" w:lineRule="auto"/>
        <w:ind w:firstLine="360" w:firstLineChars="150"/>
        <w:rPr>
          <w:b/>
          <w:color w:val="008080"/>
          <w:sz w:val="30"/>
          <w:szCs w:val="30"/>
          <w:highlight w:val="none"/>
        </w:rPr>
      </w:pPr>
      <w:r>
        <w:rPr>
          <w:rFonts w:ascii="黑体" w:hAnsi="宋体" w:eastAsia="黑体"/>
          <w:sz w:val="24"/>
          <w:highlight w:val="none"/>
        </w:rPr>
        <w:t>一</w:t>
      </w:r>
      <w:r>
        <w:rPr>
          <w:rFonts w:hint="eastAsia" w:ascii="黑体" w:hAnsi="宋体" w:eastAsia="黑体"/>
          <w:sz w:val="24"/>
          <w:highlight w:val="none"/>
        </w:rPr>
        <w:t>、</w:t>
      </w:r>
      <w:r>
        <w:rPr>
          <w:rFonts w:ascii="黑体" w:hAnsi="宋体" w:eastAsia="黑体"/>
          <w:sz w:val="24"/>
          <w:highlight w:val="none"/>
        </w:rPr>
        <w:t>基本信息（必填项）</w:t>
      </w:r>
    </w:p>
    <w:p>
      <w:pPr>
        <w:snapToGrid w:val="0"/>
        <w:spacing w:line="288" w:lineRule="auto"/>
        <w:ind w:firstLine="394" w:firstLineChars="196"/>
        <w:rPr>
          <w:color w:val="000000"/>
          <w:sz w:val="20"/>
          <w:szCs w:val="20"/>
          <w:highlight w:val="none"/>
        </w:rPr>
      </w:pPr>
      <w:r>
        <w:rPr>
          <w:b/>
          <w:bCs/>
          <w:color w:val="000000"/>
          <w:sz w:val="20"/>
          <w:szCs w:val="20"/>
          <w:highlight w:val="none"/>
        </w:rPr>
        <w:t>课程代码：</w:t>
      </w:r>
      <w:r>
        <w:rPr>
          <w:color w:val="000000"/>
          <w:sz w:val="20"/>
          <w:szCs w:val="20"/>
          <w:highlight w:val="none"/>
        </w:rPr>
        <w:t>【</w:t>
      </w:r>
      <w:r>
        <w:rPr>
          <w:rFonts w:hint="eastAsia"/>
          <w:sz w:val="20"/>
          <w:szCs w:val="20"/>
          <w:highlight w:val="none"/>
          <w:lang w:val="en-US" w:eastAsia="zh-CN"/>
        </w:rPr>
        <w:t>2030628</w:t>
      </w:r>
      <w:r>
        <w:rPr>
          <w:color w:val="000000"/>
          <w:sz w:val="20"/>
          <w:szCs w:val="20"/>
          <w:highlight w:val="none"/>
        </w:rPr>
        <w:t>】</w:t>
      </w:r>
    </w:p>
    <w:p>
      <w:pPr>
        <w:snapToGrid w:val="0"/>
        <w:spacing w:line="288" w:lineRule="auto"/>
        <w:ind w:firstLine="394" w:firstLineChars="196"/>
        <w:rPr>
          <w:color w:val="000000"/>
          <w:szCs w:val="21"/>
          <w:highlight w:val="none"/>
        </w:rPr>
      </w:pPr>
      <w:r>
        <w:rPr>
          <w:b/>
          <w:bCs/>
          <w:color w:val="000000"/>
          <w:sz w:val="20"/>
          <w:szCs w:val="20"/>
          <w:highlight w:val="none"/>
        </w:rPr>
        <w:t>课程学分：</w:t>
      </w:r>
      <w:r>
        <w:rPr>
          <w:color w:val="000000"/>
          <w:sz w:val="20"/>
          <w:szCs w:val="20"/>
          <w:highlight w:val="none"/>
        </w:rPr>
        <w:t>【</w:t>
      </w:r>
      <w:r>
        <w:rPr>
          <w:rFonts w:hint="eastAsia"/>
          <w:color w:val="000000"/>
          <w:sz w:val="20"/>
          <w:szCs w:val="20"/>
          <w:highlight w:val="none"/>
          <w:lang w:val="en-US" w:eastAsia="zh-CN"/>
        </w:rPr>
        <w:t>2</w:t>
      </w:r>
      <w:r>
        <w:rPr>
          <w:color w:val="000000"/>
          <w:sz w:val="20"/>
          <w:szCs w:val="20"/>
          <w:highlight w:val="none"/>
        </w:rPr>
        <w:t>】</w:t>
      </w:r>
    </w:p>
    <w:p>
      <w:pPr>
        <w:snapToGrid w:val="0"/>
        <w:spacing w:line="288" w:lineRule="auto"/>
        <w:ind w:firstLine="394" w:firstLineChars="196"/>
        <w:rPr>
          <w:color w:val="000000"/>
          <w:szCs w:val="21"/>
          <w:highlight w:val="none"/>
        </w:rPr>
      </w:pPr>
      <w:r>
        <w:rPr>
          <w:b/>
          <w:bCs/>
          <w:color w:val="000000"/>
          <w:sz w:val="20"/>
          <w:szCs w:val="20"/>
          <w:highlight w:val="none"/>
        </w:rPr>
        <w:t>面向专业：</w:t>
      </w:r>
      <w:r>
        <w:rPr>
          <w:color w:val="000000"/>
          <w:sz w:val="20"/>
          <w:szCs w:val="20"/>
          <w:highlight w:val="none"/>
        </w:rPr>
        <w:t>【</w:t>
      </w:r>
      <w:r>
        <w:rPr>
          <w:rFonts w:hint="eastAsia"/>
          <w:color w:val="000000"/>
          <w:sz w:val="20"/>
          <w:szCs w:val="20"/>
          <w:highlight w:val="none"/>
          <w:lang w:val="en-US" w:eastAsia="zh-CN"/>
        </w:rPr>
        <w:t>传播学（围棋）</w:t>
      </w:r>
      <w:r>
        <w:rPr>
          <w:color w:val="000000"/>
          <w:sz w:val="20"/>
          <w:szCs w:val="20"/>
          <w:highlight w:val="none"/>
        </w:rPr>
        <w:t>】</w:t>
      </w:r>
    </w:p>
    <w:p>
      <w:pPr>
        <w:snapToGrid w:val="0"/>
        <w:spacing w:line="288" w:lineRule="auto"/>
        <w:ind w:firstLine="394" w:firstLineChars="196"/>
        <w:rPr>
          <w:color w:val="000000"/>
          <w:sz w:val="20"/>
          <w:szCs w:val="20"/>
          <w:highlight w:val="none"/>
        </w:rPr>
      </w:pPr>
      <w:r>
        <w:rPr>
          <w:b/>
          <w:bCs/>
          <w:color w:val="000000"/>
          <w:sz w:val="20"/>
          <w:szCs w:val="20"/>
          <w:highlight w:val="none"/>
        </w:rPr>
        <w:t>课程性质：</w:t>
      </w:r>
      <w:r>
        <w:rPr>
          <w:color w:val="000000"/>
          <w:sz w:val="20"/>
          <w:szCs w:val="20"/>
          <w:highlight w:val="none"/>
        </w:rPr>
        <w:t>【</w:t>
      </w:r>
      <w:bookmarkStart w:id="1" w:name="_GoBack"/>
      <w:r>
        <w:rPr>
          <w:rFonts w:hint="eastAsia"/>
          <w:color w:val="000000"/>
          <w:sz w:val="20"/>
          <w:szCs w:val="20"/>
          <w:highlight w:val="none"/>
          <w:lang w:val="en-US" w:eastAsia="zh-CN"/>
        </w:rPr>
        <w:t>系级必修课</w:t>
      </w:r>
      <w:r>
        <w:rPr>
          <w:rFonts w:hint="eastAsia" w:ascii="宋体" w:hAnsi="宋体"/>
          <w:color w:val="000000"/>
          <w:sz w:val="20"/>
          <w:szCs w:val="20"/>
          <w:highlight w:val="none"/>
        </w:rPr>
        <w:t>◎</w:t>
      </w:r>
      <w:r>
        <w:rPr>
          <w:color w:val="000000"/>
          <w:sz w:val="20"/>
          <w:szCs w:val="20"/>
          <w:highlight w:val="none"/>
        </w:rPr>
        <w:t>】</w:t>
      </w:r>
    </w:p>
    <w:bookmarkEnd w:id="1"/>
    <w:p>
      <w:pPr>
        <w:snapToGrid w:val="0"/>
        <w:spacing w:line="288" w:lineRule="auto"/>
        <w:ind w:firstLine="394" w:firstLineChars="196"/>
        <w:rPr>
          <w:rFonts w:hint="eastAsia" w:eastAsia="宋体"/>
          <w:b/>
          <w:bCs/>
          <w:color w:val="000000"/>
          <w:szCs w:val="21"/>
          <w:highlight w:val="none"/>
          <w:lang w:val="en-US" w:eastAsia="zh-CN"/>
        </w:rPr>
      </w:pPr>
      <w:r>
        <w:rPr>
          <w:b/>
          <w:bCs/>
          <w:color w:val="000000"/>
          <w:sz w:val="20"/>
          <w:szCs w:val="20"/>
          <w:highlight w:val="none"/>
        </w:rPr>
        <w:t>开课院系：</w:t>
      </w:r>
      <w:r>
        <w:rPr>
          <w:rFonts w:hint="eastAsia"/>
          <w:b/>
          <w:bCs/>
          <w:color w:val="000000"/>
          <w:sz w:val="20"/>
          <w:szCs w:val="20"/>
          <w:highlight w:val="none"/>
          <w:lang w:val="en-US" w:eastAsia="zh-CN"/>
        </w:rPr>
        <w:t>新闻传播学院</w:t>
      </w:r>
    </w:p>
    <w:p>
      <w:pPr>
        <w:snapToGrid w:val="0"/>
        <w:spacing w:line="288" w:lineRule="auto"/>
        <w:ind w:firstLine="394" w:firstLineChars="196"/>
        <w:rPr>
          <w:color w:val="000000"/>
          <w:sz w:val="20"/>
          <w:szCs w:val="20"/>
          <w:highlight w:val="none"/>
        </w:rPr>
      </w:pPr>
      <w:r>
        <w:rPr>
          <w:b/>
          <w:bCs/>
          <w:color w:val="000000"/>
          <w:sz w:val="20"/>
          <w:szCs w:val="20"/>
          <w:highlight w:val="none"/>
        </w:rPr>
        <w:t>使用教材：</w:t>
      </w:r>
    </w:p>
    <w:p>
      <w:pPr>
        <w:snapToGrid w:val="0"/>
        <w:spacing w:line="288" w:lineRule="auto"/>
        <w:ind w:firstLine="792" w:firstLineChars="396"/>
        <w:rPr>
          <w:color w:val="000000"/>
          <w:szCs w:val="21"/>
          <w:highlight w:val="none"/>
        </w:rPr>
      </w:pPr>
      <w:r>
        <w:rPr>
          <w:color w:val="000000"/>
          <w:sz w:val="20"/>
          <w:szCs w:val="20"/>
          <w:highlight w:val="none"/>
        </w:rPr>
        <w:t>教材【</w:t>
      </w:r>
      <w:r>
        <w:rPr>
          <w:rFonts w:hint="eastAsia"/>
          <w:sz w:val="20"/>
          <w:szCs w:val="20"/>
          <w:highlight w:val="none"/>
        </w:rPr>
        <w:t>《</w:t>
      </w:r>
      <w:r>
        <w:rPr>
          <w:rFonts w:hint="eastAsia"/>
          <w:sz w:val="20"/>
          <w:szCs w:val="20"/>
          <w:highlight w:val="none"/>
          <w:lang w:val="en-US" w:eastAsia="zh-CN"/>
        </w:rPr>
        <w:t>中国新闻传播史</w:t>
      </w:r>
      <w:r>
        <w:rPr>
          <w:rFonts w:hint="eastAsia"/>
          <w:sz w:val="20"/>
          <w:szCs w:val="20"/>
          <w:highlight w:val="none"/>
        </w:rPr>
        <w:t>》，</w:t>
      </w:r>
      <w:r>
        <w:rPr>
          <w:rFonts w:hint="eastAsia"/>
          <w:sz w:val="20"/>
          <w:szCs w:val="20"/>
          <w:highlight w:val="none"/>
          <w:lang w:val="en-US" w:eastAsia="zh-CN"/>
        </w:rPr>
        <w:t>方汉奇主编</w:t>
      </w:r>
      <w:r>
        <w:rPr>
          <w:rFonts w:hint="eastAsia"/>
          <w:sz w:val="20"/>
          <w:szCs w:val="20"/>
          <w:highlight w:val="none"/>
        </w:rPr>
        <w:t>，</w:t>
      </w:r>
      <w:r>
        <w:rPr>
          <w:rFonts w:hint="eastAsia"/>
          <w:sz w:val="20"/>
          <w:szCs w:val="20"/>
          <w:highlight w:val="none"/>
          <w:lang w:val="en-US" w:eastAsia="zh-CN"/>
        </w:rPr>
        <w:t>中国人民</w:t>
      </w:r>
      <w:r>
        <w:rPr>
          <w:rFonts w:hint="eastAsia"/>
          <w:sz w:val="20"/>
          <w:szCs w:val="20"/>
          <w:highlight w:val="none"/>
        </w:rPr>
        <w:t>大学出版社，20</w:t>
      </w:r>
      <w:r>
        <w:rPr>
          <w:rFonts w:hint="eastAsia"/>
          <w:sz w:val="20"/>
          <w:szCs w:val="20"/>
          <w:highlight w:val="none"/>
          <w:lang w:val="en-US" w:eastAsia="zh-CN"/>
        </w:rPr>
        <w:t>14</w:t>
      </w:r>
      <w:r>
        <w:rPr>
          <w:rFonts w:hint="eastAsia"/>
          <w:sz w:val="20"/>
          <w:szCs w:val="20"/>
          <w:highlight w:val="none"/>
        </w:rPr>
        <w:t>年</w:t>
      </w:r>
      <w:r>
        <w:rPr>
          <w:rFonts w:hint="eastAsia"/>
          <w:sz w:val="20"/>
          <w:szCs w:val="20"/>
          <w:highlight w:val="none"/>
          <w:lang w:val="en-US" w:eastAsia="zh-CN"/>
        </w:rPr>
        <w:t>7月</w:t>
      </w:r>
      <w:r>
        <w:rPr>
          <w:rFonts w:hint="eastAsia"/>
          <w:sz w:val="20"/>
          <w:szCs w:val="20"/>
          <w:highlight w:val="none"/>
        </w:rPr>
        <w:t>第</w:t>
      </w:r>
      <w:r>
        <w:rPr>
          <w:rFonts w:hint="eastAsia"/>
          <w:sz w:val="20"/>
          <w:szCs w:val="20"/>
          <w:highlight w:val="none"/>
          <w:lang w:val="en-US" w:eastAsia="zh-CN"/>
        </w:rPr>
        <w:t>3</w:t>
      </w:r>
      <w:r>
        <w:rPr>
          <w:rFonts w:hint="eastAsia"/>
          <w:sz w:val="20"/>
          <w:szCs w:val="20"/>
          <w:highlight w:val="none"/>
        </w:rPr>
        <w:t>版</w:t>
      </w:r>
      <w:r>
        <w:rPr>
          <w:color w:val="000000"/>
          <w:sz w:val="20"/>
          <w:szCs w:val="20"/>
          <w:highlight w:val="none"/>
        </w:rPr>
        <w:t>】</w:t>
      </w:r>
    </w:p>
    <w:p>
      <w:pPr>
        <w:snapToGrid w:val="0"/>
        <w:spacing w:line="288" w:lineRule="auto"/>
        <w:ind w:left="718" w:leftChars="342" w:firstLine="100" w:firstLineChars="50"/>
        <w:rPr>
          <w:color w:val="000000"/>
          <w:szCs w:val="21"/>
          <w:highlight w:val="none"/>
        </w:rPr>
      </w:pPr>
      <w:r>
        <w:rPr>
          <w:color w:val="000000"/>
          <w:sz w:val="20"/>
          <w:szCs w:val="20"/>
          <w:highlight w:val="none"/>
        </w:rPr>
        <w:t>参考</w:t>
      </w:r>
      <w:r>
        <w:rPr>
          <w:rFonts w:hint="eastAsia"/>
          <w:color w:val="000000"/>
          <w:sz w:val="20"/>
          <w:szCs w:val="20"/>
          <w:highlight w:val="none"/>
        </w:rPr>
        <w:t>书目</w:t>
      </w:r>
      <w:r>
        <w:rPr>
          <w:color w:val="000000"/>
          <w:sz w:val="20"/>
          <w:szCs w:val="20"/>
          <w:highlight w:val="none"/>
        </w:rPr>
        <w:t>【</w:t>
      </w:r>
      <w:r>
        <w:rPr>
          <w:rFonts w:hint="eastAsia"/>
          <w:color w:val="000000"/>
          <w:sz w:val="20"/>
          <w:szCs w:val="20"/>
          <w:highlight w:val="none"/>
          <w:lang w:eastAsia="zh-CN"/>
        </w:rPr>
        <w:t>《</w:t>
      </w:r>
      <w:r>
        <w:rPr>
          <w:rFonts w:hint="eastAsia"/>
          <w:color w:val="000000"/>
          <w:sz w:val="20"/>
          <w:szCs w:val="20"/>
          <w:highlight w:val="none"/>
          <w:lang w:val="en-US" w:eastAsia="zh-CN"/>
        </w:rPr>
        <w:t>外国新闻传播史</w:t>
      </w:r>
      <w:r>
        <w:rPr>
          <w:rFonts w:hint="eastAsia"/>
          <w:color w:val="000000"/>
          <w:sz w:val="20"/>
          <w:szCs w:val="20"/>
          <w:highlight w:val="none"/>
          <w:lang w:eastAsia="zh-CN"/>
        </w:rPr>
        <w:t>》，</w:t>
      </w:r>
      <w:r>
        <w:rPr>
          <w:rFonts w:hint="eastAsia"/>
          <w:color w:val="000000"/>
          <w:sz w:val="20"/>
          <w:szCs w:val="20"/>
          <w:highlight w:val="none"/>
          <w:lang w:val="en-US" w:eastAsia="zh-CN"/>
        </w:rPr>
        <w:t>郑超然、程曼丽、王泰玄著，中国人民大学出版社，2000年10月第1版</w:t>
      </w:r>
      <w:r>
        <w:rPr>
          <w:color w:val="000000"/>
          <w:sz w:val="20"/>
          <w:szCs w:val="20"/>
          <w:highlight w:val="none"/>
        </w:rPr>
        <w:t>】</w:t>
      </w:r>
    </w:p>
    <w:p>
      <w:pPr>
        <w:snapToGrid w:val="0"/>
        <w:spacing w:line="288" w:lineRule="auto"/>
        <w:ind w:firstLine="394" w:firstLineChars="196"/>
        <w:rPr>
          <w:color w:val="000000"/>
          <w:sz w:val="20"/>
          <w:szCs w:val="20"/>
          <w:highlight w:val="none"/>
        </w:rPr>
      </w:pPr>
      <w:r>
        <w:rPr>
          <w:rFonts w:hint="eastAsia"/>
          <w:b/>
          <w:bCs/>
          <w:color w:val="000000"/>
          <w:sz w:val="20"/>
          <w:szCs w:val="20"/>
          <w:highlight w:val="none"/>
        </w:rPr>
        <w:t>课程网站网址：https://mooc1-1.chaoxing.com/course/208800450.html</w:t>
      </w:r>
    </w:p>
    <w:p>
      <w:pPr>
        <w:adjustRightInd w:val="0"/>
        <w:snapToGrid w:val="0"/>
        <w:spacing w:line="288" w:lineRule="auto"/>
        <w:ind w:firstLine="394" w:firstLineChars="196"/>
        <w:rPr>
          <w:color w:val="000000"/>
          <w:sz w:val="20"/>
          <w:szCs w:val="20"/>
          <w:highlight w:val="none"/>
        </w:rPr>
      </w:pPr>
      <w:r>
        <w:rPr>
          <w:b/>
          <w:bCs/>
          <w:color w:val="000000"/>
          <w:sz w:val="20"/>
          <w:szCs w:val="20"/>
          <w:highlight w:val="none"/>
        </w:rPr>
        <w:t>先修课程：</w:t>
      </w:r>
      <w:r>
        <w:rPr>
          <w:color w:val="000000"/>
          <w:sz w:val="20"/>
          <w:szCs w:val="20"/>
          <w:highlight w:val="none"/>
        </w:rPr>
        <w:t>【</w:t>
      </w:r>
      <w:r>
        <w:rPr>
          <w:rFonts w:hint="eastAsia"/>
          <w:color w:val="000000"/>
          <w:sz w:val="20"/>
          <w:szCs w:val="20"/>
          <w:highlight w:val="none"/>
          <w:lang w:eastAsia="zh-CN"/>
        </w:rPr>
        <w:t>《</w:t>
      </w:r>
      <w:r>
        <w:rPr>
          <w:rFonts w:hint="eastAsia"/>
          <w:color w:val="000000"/>
          <w:sz w:val="20"/>
          <w:szCs w:val="20"/>
          <w:highlight w:val="none"/>
          <w:lang w:val="en-US" w:eastAsia="zh-CN"/>
        </w:rPr>
        <w:t>传播学概论</w:t>
      </w:r>
      <w:r>
        <w:rPr>
          <w:rFonts w:hint="eastAsia"/>
          <w:color w:val="000000"/>
          <w:sz w:val="20"/>
          <w:szCs w:val="20"/>
          <w:highlight w:val="none"/>
          <w:lang w:eastAsia="zh-CN"/>
        </w:rPr>
        <w:t>》</w:t>
      </w:r>
      <w:r>
        <w:rPr>
          <w:color w:val="000000"/>
          <w:sz w:val="20"/>
          <w:szCs w:val="20"/>
          <w:highlight w:val="none"/>
        </w:rPr>
        <w:t>】</w:t>
      </w:r>
    </w:p>
    <w:p>
      <w:pPr>
        <w:adjustRightInd w:val="0"/>
        <w:snapToGrid w:val="0"/>
        <w:spacing w:beforeLines="50" w:afterLines="50" w:line="288" w:lineRule="auto"/>
        <w:ind w:firstLine="348" w:firstLineChars="145"/>
        <w:rPr>
          <w:b/>
          <w:color w:val="000000"/>
          <w:sz w:val="24"/>
          <w:szCs w:val="20"/>
          <w:highlight w:val="none"/>
        </w:rPr>
      </w:pPr>
      <w:r>
        <w:rPr>
          <w:rFonts w:ascii="黑体" w:hAnsi="宋体" w:eastAsia="黑体"/>
          <w:sz w:val="24"/>
          <w:highlight w:val="none"/>
        </w:rPr>
        <w:t>二</w:t>
      </w:r>
      <w:r>
        <w:rPr>
          <w:rFonts w:hint="eastAsia" w:ascii="黑体" w:hAnsi="宋体" w:eastAsia="黑体"/>
          <w:sz w:val="24"/>
          <w:highlight w:val="none"/>
        </w:rPr>
        <w:t>、</w:t>
      </w:r>
      <w:r>
        <w:rPr>
          <w:rFonts w:ascii="黑体" w:hAnsi="宋体" w:eastAsia="黑体"/>
          <w:sz w:val="24"/>
          <w:highlight w:val="none"/>
        </w:rPr>
        <w:t>课程简介（必填项）</w:t>
      </w:r>
    </w:p>
    <w:p>
      <w:pPr>
        <w:snapToGrid w:val="0"/>
        <w:spacing w:line="288" w:lineRule="auto"/>
        <w:ind w:firstLine="400" w:firstLineChars="200"/>
        <w:rPr>
          <w:color w:val="000000"/>
          <w:sz w:val="20"/>
          <w:szCs w:val="20"/>
          <w:highlight w:val="none"/>
        </w:rPr>
      </w:pPr>
      <w:r>
        <w:rPr>
          <w:color w:val="000000"/>
          <w:sz w:val="20"/>
          <w:szCs w:val="20"/>
          <w:highlight w:val="none"/>
        </w:rPr>
        <w:t>此处概述课程</w:t>
      </w:r>
      <w:r>
        <w:rPr>
          <w:rFonts w:hint="eastAsia"/>
          <w:color w:val="000000"/>
          <w:sz w:val="20"/>
          <w:szCs w:val="20"/>
          <w:highlight w:val="none"/>
        </w:rPr>
        <w:t>的研究对象及课程在专业中的作用与地位</w:t>
      </w:r>
      <w:r>
        <w:rPr>
          <w:color w:val="000000"/>
          <w:sz w:val="20"/>
          <w:szCs w:val="20"/>
          <w:highlight w:val="none"/>
        </w:rPr>
        <w:t>，使学生对该课程有一个总体了解。</w:t>
      </w:r>
      <w:r>
        <w:rPr>
          <w:rFonts w:hint="eastAsia"/>
          <w:color w:val="000000"/>
          <w:sz w:val="20"/>
          <w:szCs w:val="20"/>
          <w:highlight w:val="none"/>
        </w:rPr>
        <w:t>（300-400字）</w:t>
      </w:r>
    </w:p>
    <w:p>
      <w:pPr>
        <w:snapToGrid w:val="0"/>
        <w:spacing w:line="288" w:lineRule="auto"/>
        <w:ind w:firstLine="400" w:firstLineChars="200"/>
        <w:rPr>
          <w:color w:val="000000"/>
          <w:sz w:val="20"/>
          <w:szCs w:val="20"/>
          <w:highlight w:val="none"/>
        </w:rPr>
      </w:pPr>
    </w:p>
    <w:p>
      <w:pPr>
        <w:adjustRightInd w:val="0"/>
        <w:snapToGrid w:val="0"/>
        <w:spacing w:beforeLines="50" w:afterLines="50" w:line="360" w:lineRule="auto"/>
        <w:ind w:firstLine="409" w:firstLineChars="195"/>
        <w:rPr>
          <w:rFonts w:ascii="Times New Roman" w:hAnsi="Times New Roman"/>
          <w:color w:val="000000"/>
          <w:szCs w:val="21"/>
        </w:rPr>
      </w:pPr>
      <w:r>
        <w:rPr>
          <w:rFonts w:ascii="Times New Roman" w:hAnsi="Times New Roman"/>
          <w:color w:val="000000"/>
          <w:szCs w:val="21"/>
        </w:rPr>
        <w:t>中外新闻事业史课程，通过对近代以来中外新闻传播业（机构、载体、手段、事件、人物等）的概述，认识新闻传播发展的规律和趋势，吸取经验和教训，提高传媒素养，加深对历史和社会的了解。本课程的教学路径：（1）对史实的介绍，抓住重点，兼顾一般：中国多于外国、上海多于外地。现当代重于近现代，当代部分将避免与以新媒体、全媒体、媒体融合为内容的课程重复。（2）认识不同时代新闻业与经济、科技、政治、社会、文化等方面的互动关系。（3）审视得失，反观当下，思考、展望未来。</w:t>
      </w:r>
    </w:p>
    <w:p>
      <w:pPr>
        <w:adjustRightInd w:val="0"/>
        <w:snapToGrid w:val="0"/>
        <w:spacing w:beforeLines="50" w:afterLines="50" w:line="360" w:lineRule="auto"/>
        <w:ind w:firstLine="514" w:firstLineChars="245"/>
        <w:rPr>
          <w:rFonts w:ascii="Times New Roman" w:hAnsi="Times New Roman"/>
          <w:color w:val="000000"/>
          <w:szCs w:val="21"/>
        </w:rPr>
      </w:pPr>
      <w:r>
        <w:rPr>
          <w:rFonts w:ascii="Times New Roman" w:hAnsi="Times New Roman"/>
          <w:color w:val="000000"/>
          <w:szCs w:val="21"/>
        </w:rPr>
        <w:t>在所谓“泛媒体”时代，从事新闻传播专业的人，与许多业余传者的重要区别之一，就在于是否认真读过新闻史论。一部新闻史，是先进取代落后，真理战胜谬误的历史。本课程的教学将注重促进学生人性境界的提升，理想人格的塑造，在提高传媒素养的同时涵养人文精神。</w:t>
      </w:r>
    </w:p>
    <w:p>
      <w:pPr>
        <w:widowControl/>
        <w:spacing w:beforeLines="50" w:afterLines="50" w:line="288" w:lineRule="auto"/>
        <w:ind w:firstLine="360" w:firstLineChars="150"/>
        <w:jc w:val="left"/>
        <w:rPr>
          <w:rFonts w:ascii="黑体" w:hAnsi="宋体" w:eastAsia="黑体"/>
          <w:sz w:val="24"/>
          <w:highlight w:val="none"/>
        </w:rPr>
      </w:pPr>
      <w:r>
        <w:rPr>
          <w:rFonts w:ascii="黑体" w:hAnsi="宋体" w:eastAsia="黑体"/>
          <w:sz w:val="24"/>
          <w:highlight w:val="none"/>
        </w:rPr>
        <w:t>三</w:t>
      </w:r>
      <w:r>
        <w:rPr>
          <w:rFonts w:hint="eastAsia" w:ascii="黑体" w:hAnsi="宋体" w:eastAsia="黑体"/>
          <w:sz w:val="24"/>
          <w:highlight w:val="none"/>
        </w:rPr>
        <w:t>、</w:t>
      </w:r>
      <w:r>
        <w:rPr>
          <w:rFonts w:ascii="黑体" w:hAnsi="宋体" w:eastAsia="黑体"/>
          <w:sz w:val="24"/>
          <w:highlight w:val="none"/>
        </w:rPr>
        <w:t>选课建议（必填项）</w:t>
      </w:r>
    </w:p>
    <w:p>
      <w:pPr>
        <w:snapToGrid w:val="0"/>
        <w:spacing w:line="288" w:lineRule="auto"/>
        <w:ind w:firstLine="400" w:firstLineChars="200"/>
        <w:rPr>
          <w:color w:val="000000"/>
          <w:sz w:val="20"/>
          <w:szCs w:val="20"/>
          <w:highlight w:val="none"/>
        </w:rPr>
      </w:pPr>
    </w:p>
    <w:p>
      <w:pPr>
        <w:snapToGrid w:val="0"/>
        <w:spacing w:line="288" w:lineRule="auto"/>
        <w:ind w:firstLine="400" w:firstLineChars="200"/>
        <w:rPr>
          <w:color w:val="000000"/>
          <w:sz w:val="20"/>
          <w:szCs w:val="20"/>
          <w:highlight w:val="none"/>
        </w:rPr>
      </w:pPr>
      <w:r>
        <w:rPr>
          <w:rFonts w:hint="eastAsia"/>
          <w:color w:val="000000"/>
          <w:sz w:val="20"/>
          <w:szCs w:val="20"/>
          <w:highlight w:val="none"/>
          <w:lang w:val="en-US" w:eastAsia="zh-CN"/>
        </w:rPr>
        <w:t>本课程在新闻传播学院新闻学、传播学开设。新闻学开设于低年级，传播学可开设于二、三年级。传播学学生学习《中外新闻传播史》，建议先修《传播学概论》等课程，打好理论基础。</w:t>
      </w:r>
    </w:p>
    <w:p>
      <w:pPr>
        <w:snapToGrid w:val="0"/>
        <w:spacing w:line="288" w:lineRule="auto"/>
        <w:ind w:firstLine="400" w:firstLineChars="200"/>
        <w:rPr>
          <w:color w:val="000000"/>
          <w:sz w:val="20"/>
          <w:szCs w:val="20"/>
          <w:highlight w:val="none"/>
        </w:rPr>
      </w:pPr>
    </w:p>
    <w:p>
      <w:pPr>
        <w:snapToGrid w:val="0"/>
        <w:spacing w:line="288" w:lineRule="auto"/>
        <w:ind w:firstLine="400" w:firstLineChars="200"/>
        <w:rPr>
          <w:color w:val="000000"/>
          <w:sz w:val="20"/>
          <w:szCs w:val="20"/>
          <w:highlight w:val="none"/>
        </w:rPr>
      </w:pPr>
    </w:p>
    <w:p>
      <w:pPr>
        <w:snapToGrid w:val="0"/>
        <w:spacing w:line="288" w:lineRule="auto"/>
        <w:ind w:firstLine="400" w:firstLineChars="200"/>
        <w:rPr>
          <w:color w:val="000000"/>
          <w:sz w:val="20"/>
          <w:szCs w:val="20"/>
          <w:highlight w:val="none"/>
        </w:rPr>
      </w:pPr>
    </w:p>
    <w:p>
      <w:pPr>
        <w:widowControl/>
        <w:spacing w:beforeLines="50" w:afterLines="50" w:line="288" w:lineRule="auto"/>
        <w:ind w:firstLine="360" w:firstLineChars="150"/>
        <w:jc w:val="left"/>
        <w:rPr>
          <w:rFonts w:ascii="黑体" w:hAnsi="宋体" w:eastAsia="黑体"/>
          <w:color w:val="auto"/>
          <w:sz w:val="24"/>
          <w:highlight w:val="none"/>
        </w:rPr>
      </w:pPr>
      <w:r>
        <w:rPr>
          <w:rFonts w:ascii="黑体" w:hAnsi="宋体" w:eastAsia="黑体"/>
          <w:color w:val="auto"/>
          <w:sz w:val="24"/>
          <w:highlight w:val="none"/>
        </w:rPr>
        <w:t>四</w:t>
      </w:r>
      <w:r>
        <w:rPr>
          <w:rFonts w:hint="eastAsia" w:ascii="黑体" w:hAnsi="宋体" w:eastAsia="黑体"/>
          <w:color w:val="auto"/>
          <w:sz w:val="24"/>
          <w:highlight w:val="none"/>
        </w:rPr>
        <w:t>、</w:t>
      </w:r>
      <w:r>
        <w:rPr>
          <w:rFonts w:ascii="黑体" w:hAnsi="宋体" w:eastAsia="黑体"/>
          <w:color w:val="auto"/>
          <w:sz w:val="24"/>
          <w:highlight w:val="none"/>
        </w:rPr>
        <w:t>课程与</w:t>
      </w:r>
      <w:r>
        <w:rPr>
          <w:rFonts w:hint="eastAsia" w:ascii="黑体" w:hAnsi="宋体" w:eastAsia="黑体"/>
          <w:color w:val="auto"/>
          <w:sz w:val="24"/>
          <w:highlight w:val="none"/>
        </w:rPr>
        <w:t>专业毕业要求</w:t>
      </w:r>
      <w:r>
        <w:rPr>
          <w:rFonts w:ascii="黑体" w:hAnsi="宋体" w:eastAsia="黑体"/>
          <w:color w:val="auto"/>
          <w:sz w:val="24"/>
          <w:highlight w:val="none"/>
        </w:rPr>
        <w:t>的关联性（必填项）</w:t>
      </w:r>
    </w:p>
    <w:p>
      <w:pPr>
        <w:ind w:firstLine="420" w:firstLineChars="200"/>
        <w:rPr>
          <w:rFonts w:hint="eastAsia"/>
          <w:highlight w:val="none"/>
        </w:rPr>
      </w:pPr>
    </w:p>
    <w:tbl>
      <w:tblPr>
        <w:tblStyle w:val="4"/>
        <w:tblW w:w="8222" w:type="dxa"/>
        <w:tblInd w:w="108" w:type="dxa"/>
        <w:tblLayout w:type="autofit"/>
        <w:tblCellMar>
          <w:top w:w="0" w:type="dxa"/>
          <w:left w:w="108" w:type="dxa"/>
          <w:bottom w:w="0" w:type="dxa"/>
          <w:right w:w="108" w:type="dxa"/>
        </w:tblCellMar>
      </w:tblPr>
      <w:tblGrid>
        <w:gridCol w:w="681"/>
        <w:gridCol w:w="990"/>
        <w:gridCol w:w="5700"/>
        <w:gridCol w:w="851"/>
      </w:tblGrid>
      <w:tr>
        <w:tblPrEx>
          <w:tblCellMar>
            <w:top w:w="0" w:type="dxa"/>
            <w:left w:w="108" w:type="dxa"/>
            <w:bottom w:w="0" w:type="dxa"/>
            <w:right w:w="108" w:type="dxa"/>
          </w:tblCellMar>
        </w:tblPrEx>
        <w:trPr>
          <w:trHeight w:val="645" w:hRule="atLeast"/>
        </w:trPr>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eastAsia="黑体" w:asciiTheme="majorBidi" w:hAnsiTheme="majorBidi" w:cstheme="majorBidi"/>
                <w:kern w:val="0"/>
                <w:szCs w:val="21"/>
              </w:rPr>
              <w:t>专业毕业要求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eastAsia="黑体" w:asciiTheme="majorBidi" w:hAnsiTheme="majorBidi" w:cstheme="majorBidi"/>
                <w:kern w:val="0"/>
                <w:szCs w:val="21"/>
              </w:rPr>
              <w:t>关联</w:t>
            </w:r>
          </w:p>
        </w:tc>
      </w:tr>
      <w:tr>
        <w:tblPrEx>
          <w:tblCellMar>
            <w:top w:w="0" w:type="dxa"/>
            <w:left w:w="108" w:type="dxa"/>
            <w:bottom w:w="0" w:type="dxa"/>
            <w:right w:w="108" w:type="dxa"/>
          </w:tblCellMar>
        </w:tblPrEx>
        <w:trPr>
          <w:trHeight w:val="645" w:hRule="atLeast"/>
        </w:trPr>
        <w:tc>
          <w:tcPr>
            <w:tcW w:w="6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L011</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LO111</w:t>
            </w:r>
          </w:p>
        </w:tc>
        <w:tc>
          <w:tcPr>
            <w:tcW w:w="57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倾听他人意见、尊重他人观点、分析他人需求。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p>
        </w:tc>
      </w:tr>
      <w:tr>
        <w:trPr>
          <w:trHeight w:val="61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nil"/>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LO112</w:t>
            </w:r>
          </w:p>
        </w:tc>
        <w:tc>
          <w:tcPr>
            <w:tcW w:w="57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应用书面或口头形式，阐释自己的观点，有效沟通。</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68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L021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LO211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能根据需要确定学习目标，并设计学习计划。</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82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LO212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能搜集、获取达到目标所需要的学习资源，实施学习计划、反思学习计划、持续改进，达到学习目标。</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95" w:hRule="atLeast"/>
        </w:trPr>
        <w:tc>
          <w:tcPr>
            <w:tcW w:w="681" w:type="dxa"/>
            <w:tcBorders>
              <w:top w:val="nil"/>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L031</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新闻理论：掌握新闻学的核心理论、基本知识。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r>
              <w:rPr>
                <w:rFonts w:ascii="Times New Roman" w:hAnsi="Times New Roman"/>
                <w:color w:val="000000"/>
                <w:kern w:val="0"/>
                <w:szCs w:val="21"/>
              </w:rPr>
              <w:sym w:font="Wingdings 2" w:char="F098"/>
            </w:r>
          </w:p>
        </w:tc>
      </w:tr>
      <w:tr>
        <w:tblPrEx>
          <w:tblCellMar>
            <w:top w:w="0" w:type="dxa"/>
            <w:left w:w="108" w:type="dxa"/>
            <w:bottom w:w="0" w:type="dxa"/>
            <w:right w:w="108" w:type="dxa"/>
          </w:tblCellMar>
        </w:tblPrEx>
        <w:trPr>
          <w:trHeight w:val="720"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L032</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视频制作：掌握视频内容的策划、拍摄、后期制作，具备传播视觉化信息的基本能力。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645"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L033</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文本写作：根据不同传播渠道的规范要求，具备基本的文本写作能力。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p>
        </w:tc>
      </w:tr>
      <w:tr>
        <w:trPr>
          <w:trHeight w:val="825"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L034</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新媒体运营：掌握互联网和移动互联网各类媒体工具的使用，具备新媒体的日常运营能力。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810"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L035</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人文素养：对文学、绘画、影视、音乐、戏剧等文化艺术具有基本的鉴赏能力，体现出媒介内容制作的质量和品位。</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750" w:hRule="atLeast"/>
        </w:trPr>
        <w:tc>
          <w:tcPr>
            <w:tcW w:w="68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L041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LO411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遵纪守法：遵守校纪校规，具备法律意识。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7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LO412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诚实守信：为人诚实，信守承诺，尽职尽责。</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p>
        </w:tc>
      </w:tr>
      <w:tr>
        <w:trPr>
          <w:trHeight w:val="109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LO413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imes New Roman" w:hAnsi="Times New Roman"/>
                <w:color w:val="000000"/>
                <w:kern w:val="0"/>
                <w:szCs w:val="21"/>
              </w:rPr>
              <w:sym w:font="Wingdings 2" w:char="F098"/>
            </w:r>
          </w:p>
        </w:tc>
      </w:tr>
      <w:tr>
        <w:tblPrEx>
          <w:tblCellMar>
            <w:top w:w="0" w:type="dxa"/>
            <w:left w:w="108" w:type="dxa"/>
            <w:bottom w:w="0" w:type="dxa"/>
            <w:right w:w="108" w:type="dxa"/>
          </w:tblCellMar>
        </w:tblPrEx>
        <w:trPr>
          <w:trHeight w:val="540"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LO414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身心健康，能承受学习和生活中的压力。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w:t>
            </w:r>
          </w:p>
        </w:tc>
      </w:tr>
      <w:tr>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L051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LO511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在集体活动中能主动担任自己的角色，与其他成员密切合作，共同完成任务。</w:t>
            </w:r>
          </w:p>
        </w:tc>
        <w:tc>
          <w:tcPr>
            <w:tcW w:w="851" w:type="dxa"/>
            <w:tcBorders>
              <w:top w:val="nil"/>
              <w:left w:val="nil"/>
              <w:bottom w:val="single" w:color="auto" w:sz="4" w:space="0"/>
              <w:right w:val="single" w:color="auto" w:sz="4" w:space="0"/>
            </w:tcBorders>
            <w:shd w:val="clear" w:color="auto" w:fill="auto"/>
            <w:vAlign w:val="center"/>
          </w:tcPr>
          <w:p>
            <w:pPr>
              <w:widowControl/>
              <w:ind w:firstLine="105" w:firstLineChars="50"/>
              <w:rPr>
                <w:rFonts w:asciiTheme="majorBidi" w:hAnsiTheme="majorBidi" w:cstheme="majorBidi"/>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LO512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有质疑精神，能有逻辑的分析与批判。</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imes New Roman" w:hAnsi="Times New Roman"/>
                <w:color w:val="000000"/>
                <w:kern w:val="0"/>
                <w:szCs w:val="21"/>
              </w:rPr>
              <w:sym w:font="Wingdings 2" w:char="F098"/>
            </w:r>
          </w:p>
        </w:tc>
      </w:tr>
      <w:tr>
        <w:tblPrEx>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LO513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能用创新的方法或者多种方法解决复杂问题或真实问题。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p>
        </w:tc>
      </w:tr>
      <w:tr>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LO514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了解行业前沿知识技术。</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L061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LO611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能够根据需要进行专业文献检索。</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LO612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能够使用适合的工具来搜集信息，并对信息加以分析、鉴别、判断与整合。</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r>
              <w:rPr>
                <w:rFonts w:ascii="Times New Roman" w:hAnsi="Times New Roman"/>
                <w:color w:val="000000"/>
                <w:kern w:val="0"/>
                <w:szCs w:val="21"/>
              </w:rPr>
              <w:sym w:font="Wingdings 2" w:char="F098"/>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LO613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熟练使用计算机，掌握常用办公软件。</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615"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L071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LO711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爱党爱国：了解祖国的优秀传统文化和革命历史，构建爱党爱国的理想信念。</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imes New Roman" w:hAnsi="Times New Roman"/>
                <w:color w:val="000000"/>
                <w:kern w:val="0"/>
                <w:szCs w:val="21"/>
              </w:rPr>
              <w:sym w:font="Wingdings 2" w:char="F098"/>
            </w:r>
          </w:p>
        </w:tc>
      </w:tr>
      <w:tr>
        <w:tblPrEx>
          <w:tblCellMar>
            <w:top w:w="0" w:type="dxa"/>
            <w:left w:w="108" w:type="dxa"/>
            <w:bottom w:w="0" w:type="dxa"/>
            <w:right w:w="108" w:type="dxa"/>
          </w:tblCellMar>
        </w:tblPrEx>
        <w:trPr>
          <w:trHeight w:val="63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LO712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助人为乐：富于爱心，懂得感恩，具备助人为乐的品质。</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58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LO713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奉献社会：具有服务企业、服务社会的意愿和行为能力。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66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LO714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爱护环境：具有爱护环境的意识和与自然和谐相处的环保理念。</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L081</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L0811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具备外语表达沟通能力，达到本专业的要求。</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p>
        </w:tc>
      </w:tr>
      <w:tr>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L0812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理解其他国家历史文化，有跨文化交流能力。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L0813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有国际竞争与合作意识。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p>
        </w:tc>
      </w:tr>
    </w:tbl>
    <w:p>
      <w:pPr>
        <w:ind w:firstLine="420" w:firstLineChars="200"/>
        <w:rPr>
          <w:rFonts w:hint="eastAsia"/>
          <w:highlight w:val="none"/>
        </w:rPr>
      </w:pPr>
    </w:p>
    <w:p>
      <w:pPr>
        <w:ind w:firstLine="420" w:firstLineChars="200"/>
        <w:rPr>
          <w:highlight w:val="none"/>
        </w:rPr>
      </w:pPr>
      <w:r>
        <w:rPr>
          <w:rFonts w:hint="eastAsia"/>
          <w:highlight w:val="none"/>
        </w:rPr>
        <w:t>备注：LO=</w:t>
      </w:r>
      <w:r>
        <w:rPr>
          <w:highlight w:val="none"/>
        </w:rPr>
        <w:t>learning outcomes</w:t>
      </w:r>
      <w:r>
        <w:rPr>
          <w:rFonts w:hint="eastAsia"/>
          <w:highlight w:val="none"/>
        </w:rPr>
        <w:t>（学习成果）</w:t>
      </w:r>
    </w:p>
    <w:p>
      <w:pPr>
        <w:rPr>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r>
        <w:rPr>
          <w:rFonts w:ascii="黑体" w:hAnsi="宋体" w:eastAsia="黑体"/>
          <w:sz w:val="24"/>
          <w:highlight w:val="none"/>
        </w:rPr>
        <w:t>（必填项）（</w:t>
      </w:r>
      <w:r>
        <w:rPr>
          <w:rFonts w:hint="eastAsia" w:ascii="黑体" w:hAnsi="宋体" w:eastAsia="黑体"/>
          <w:sz w:val="24"/>
          <w:highlight w:val="none"/>
        </w:rPr>
        <w:t>预期学习成果</w:t>
      </w:r>
      <w:r>
        <w:rPr>
          <w:rFonts w:ascii="黑体" w:hAnsi="宋体" w:eastAsia="黑体"/>
          <w:sz w:val="24"/>
          <w:highlight w:val="none"/>
        </w:rPr>
        <w:t>要可测量/能够证明）</w:t>
      </w:r>
    </w:p>
    <w:p>
      <w:pPr>
        <w:spacing w:line="360" w:lineRule="auto"/>
        <w:ind w:firstLine="500" w:firstLineChars="250"/>
        <w:rPr>
          <w:sz w:val="20"/>
          <w:szCs w:val="20"/>
          <w:highlight w:val="none"/>
        </w:rPr>
      </w:pPr>
      <w:r>
        <w:rPr>
          <w:rFonts w:hint="eastAsia"/>
          <w:sz w:val="20"/>
          <w:szCs w:val="20"/>
          <w:highlight w:val="none"/>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p>
      <w:pPr>
        <w:snapToGrid w:val="0"/>
        <w:spacing w:line="288" w:lineRule="auto"/>
        <w:ind w:left="420" w:leftChars="200"/>
        <w:rPr>
          <w:rFonts w:ascii="黑体" w:hAnsi="宋体" w:eastAsia="黑体"/>
          <w:sz w:val="24"/>
          <w:highlight w:val="none"/>
        </w:rPr>
      </w:pPr>
    </w:p>
    <w:tbl>
      <w:tblPr>
        <w:tblStyle w:val="4"/>
        <w:tblpPr w:leftFromText="180" w:rightFromText="180" w:vertAnchor="text" w:horzAnchor="page" w:tblpX="1845" w:tblpY="152"/>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2754"/>
        <w:gridCol w:w="2234"/>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5" w:type="dxa"/>
            <w:shd w:val="clear" w:color="auto" w:fill="auto"/>
          </w:tcPr>
          <w:p>
            <w:pPr>
              <w:snapToGrid w:val="0"/>
              <w:spacing w:line="360" w:lineRule="auto"/>
              <w:jc w:val="center"/>
              <w:rPr>
                <w:rFonts w:ascii="Times New Roman" w:hAnsi="Times New Roman"/>
                <w:b/>
                <w:color w:val="000000"/>
                <w:szCs w:val="21"/>
              </w:rPr>
            </w:pPr>
            <w:r>
              <w:rPr>
                <w:rFonts w:ascii="Times New Roman" w:hAnsi="Times New Roman"/>
                <w:b/>
                <w:color w:val="000000"/>
                <w:szCs w:val="21"/>
              </w:rPr>
              <w:t>序号</w:t>
            </w:r>
          </w:p>
        </w:tc>
        <w:tc>
          <w:tcPr>
            <w:tcW w:w="1134" w:type="dxa"/>
            <w:shd w:val="clear" w:color="auto" w:fill="auto"/>
          </w:tcPr>
          <w:p>
            <w:pPr>
              <w:snapToGrid w:val="0"/>
              <w:spacing w:line="360" w:lineRule="auto"/>
              <w:jc w:val="center"/>
              <w:rPr>
                <w:rFonts w:ascii="Times New Roman" w:hAnsi="Times New Roman"/>
                <w:b/>
                <w:color w:val="000000"/>
                <w:szCs w:val="21"/>
              </w:rPr>
            </w:pPr>
            <w:r>
              <w:rPr>
                <w:rFonts w:ascii="Times New Roman" w:hAnsi="Times New Roman"/>
                <w:b/>
                <w:color w:val="000000"/>
                <w:szCs w:val="21"/>
              </w:rPr>
              <w:t>课程预期</w:t>
            </w:r>
          </w:p>
          <w:p>
            <w:pPr>
              <w:snapToGrid w:val="0"/>
              <w:spacing w:line="360" w:lineRule="auto"/>
              <w:jc w:val="center"/>
              <w:rPr>
                <w:rFonts w:ascii="Times New Roman" w:hAnsi="Times New Roman"/>
                <w:b/>
                <w:color w:val="000000"/>
                <w:szCs w:val="21"/>
              </w:rPr>
            </w:pPr>
            <w:r>
              <w:rPr>
                <w:rFonts w:ascii="Times New Roman" w:hAnsi="Times New Roman"/>
                <w:b/>
                <w:color w:val="000000"/>
                <w:szCs w:val="21"/>
              </w:rPr>
              <w:t>学习成果</w:t>
            </w:r>
          </w:p>
        </w:tc>
        <w:tc>
          <w:tcPr>
            <w:tcW w:w="2754" w:type="dxa"/>
            <w:shd w:val="clear" w:color="auto" w:fill="auto"/>
            <w:vAlign w:val="center"/>
          </w:tcPr>
          <w:p>
            <w:pPr>
              <w:snapToGrid w:val="0"/>
              <w:spacing w:line="360" w:lineRule="auto"/>
              <w:jc w:val="center"/>
              <w:rPr>
                <w:rFonts w:ascii="Times New Roman" w:hAnsi="Times New Roman"/>
                <w:b/>
                <w:color w:val="000000"/>
                <w:szCs w:val="21"/>
                <w:highlight w:val="yellow"/>
              </w:rPr>
            </w:pPr>
            <w:r>
              <w:rPr>
                <w:rFonts w:ascii="Times New Roman" w:hAnsi="Times New Roman"/>
                <w:b/>
                <w:color w:val="000000"/>
                <w:szCs w:val="21"/>
              </w:rPr>
              <w:t>课程目标</w:t>
            </w:r>
          </w:p>
          <w:p>
            <w:pPr>
              <w:snapToGrid w:val="0"/>
              <w:spacing w:line="360" w:lineRule="auto"/>
              <w:jc w:val="center"/>
              <w:rPr>
                <w:rFonts w:ascii="Times New Roman" w:hAnsi="Times New Roman"/>
                <w:b/>
                <w:color w:val="000000"/>
                <w:szCs w:val="21"/>
              </w:rPr>
            </w:pPr>
            <w:r>
              <w:rPr>
                <w:rFonts w:ascii="Times New Roman" w:hAnsi="Times New Roman"/>
                <w:b/>
                <w:color w:val="000000"/>
                <w:szCs w:val="21"/>
              </w:rPr>
              <w:t>（细化的预期学习成果）</w:t>
            </w:r>
          </w:p>
        </w:tc>
        <w:tc>
          <w:tcPr>
            <w:tcW w:w="2234" w:type="dxa"/>
            <w:shd w:val="clear" w:color="auto" w:fill="auto"/>
            <w:vAlign w:val="center"/>
          </w:tcPr>
          <w:p>
            <w:pPr>
              <w:snapToGrid w:val="0"/>
              <w:spacing w:line="360" w:lineRule="auto"/>
              <w:jc w:val="center"/>
              <w:rPr>
                <w:rFonts w:ascii="Times New Roman" w:hAnsi="Times New Roman"/>
                <w:b/>
                <w:color w:val="000000"/>
                <w:szCs w:val="21"/>
              </w:rPr>
            </w:pPr>
            <w:r>
              <w:rPr>
                <w:rFonts w:ascii="Times New Roman" w:hAnsi="Times New Roman"/>
                <w:b/>
                <w:color w:val="000000"/>
                <w:szCs w:val="21"/>
              </w:rPr>
              <w:t>教与学方式</w:t>
            </w:r>
          </w:p>
        </w:tc>
        <w:tc>
          <w:tcPr>
            <w:tcW w:w="1533" w:type="dxa"/>
            <w:shd w:val="clear" w:color="auto" w:fill="auto"/>
            <w:vAlign w:val="center"/>
          </w:tcPr>
          <w:p>
            <w:pPr>
              <w:snapToGrid w:val="0"/>
              <w:spacing w:line="360" w:lineRule="auto"/>
              <w:jc w:val="center"/>
              <w:rPr>
                <w:rFonts w:ascii="Times New Roman" w:hAnsi="Times New Roman"/>
                <w:b/>
                <w:color w:val="000000"/>
                <w:szCs w:val="21"/>
              </w:rPr>
            </w:pPr>
            <w:r>
              <w:rPr>
                <w:rFonts w:ascii="Times New Roman" w:hAnsi="Times New Roman"/>
                <w:b/>
                <w:color w:val="000000"/>
                <w:szCs w:val="21"/>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75"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1</w:t>
            </w:r>
          </w:p>
        </w:tc>
        <w:tc>
          <w:tcPr>
            <w:tcW w:w="1134" w:type="dxa"/>
            <w:shd w:val="clear" w:color="auto" w:fill="auto"/>
            <w:vAlign w:val="center"/>
          </w:tcPr>
          <w:p>
            <w:pPr>
              <w:spacing w:line="360" w:lineRule="auto"/>
              <w:rPr>
                <w:rFonts w:ascii="Times New Roman" w:hAnsi="Times New Roman"/>
                <w:color w:val="000000"/>
                <w:kern w:val="0"/>
                <w:szCs w:val="21"/>
              </w:rPr>
            </w:pPr>
            <w:r>
              <w:rPr>
                <w:rFonts w:ascii="Times New Roman" w:hAnsi="Times New Roman"/>
                <w:color w:val="000000"/>
                <w:kern w:val="0"/>
                <w:szCs w:val="21"/>
              </w:rPr>
              <w:t>LO512</w:t>
            </w:r>
          </w:p>
        </w:tc>
        <w:tc>
          <w:tcPr>
            <w:tcW w:w="2754" w:type="dxa"/>
            <w:shd w:val="clear" w:color="auto" w:fill="auto"/>
          </w:tcPr>
          <w:p>
            <w:pPr>
              <w:spacing w:line="360" w:lineRule="auto"/>
              <w:jc w:val="left"/>
              <w:rPr>
                <w:rFonts w:ascii="Times New Roman" w:hAnsi="Times New Roman"/>
                <w:color w:val="000000"/>
                <w:szCs w:val="21"/>
              </w:rPr>
            </w:pPr>
            <w:r>
              <w:rPr>
                <w:rFonts w:ascii="Times New Roman" w:hAnsi="Times New Roman"/>
                <w:color w:val="000000"/>
                <w:kern w:val="0"/>
                <w:szCs w:val="21"/>
              </w:rPr>
              <w:t>有质疑精神，能有逻辑的分析与批判。</w:t>
            </w:r>
            <w:r>
              <w:rPr>
                <w:rFonts w:ascii="Times New Roman" w:hAnsi="Times New Roman"/>
                <w:bCs/>
                <w:color w:val="000000"/>
                <w:szCs w:val="21"/>
              </w:rPr>
              <w:t>不唯书、不唯师。</w:t>
            </w:r>
            <w:r>
              <w:rPr>
                <w:rFonts w:ascii="Times New Roman" w:hAnsi="Times New Roman"/>
                <w:bCs/>
                <w:color w:val="000000"/>
                <w:kern w:val="0"/>
                <w:szCs w:val="21"/>
              </w:rPr>
              <w:t>师生之间教学相长、同学之间交流心得，要有讨论的氛围。</w:t>
            </w:r>
          </w:p>
        </w:tc>
        <w:tc>
          <w:tcPr>
            <w:tcW w:w="2234" w:type="dxa"/>
            <w:shd w:val="clear" w:color="auto" w:fill="auto"/>
          </w:tcPr>
          <w:p>
            <w:pPr>
              <w:snapToGrid w:val="0"/>
              <w:spacing w:line="360" w:lineRule="auto"/>
              <w:jc w:val="left"/>
              <w:rPr>
                <w:rFonts w:hint="default" w:ascii="Times New Roman" w:hAnsi="Times New Roman" w:eastAsia="宋体"/>
                <w:szCs w:val="21"/>
                <w:lang w:val="en-US" w:eastAsia="zh-CN"/>
              </w:rPr>
            </w:pPr>
            <w:r>
              <w:rPr>
                <w:rFonts w:hint="eastAsia" w:ascii="Times New Roman" w:hAnsi="Times New Roman"/>
                <w:szCs w:val="21"/>
                <w:lang w:val="en-US" w:eastAsia="zh-CN"/>
              </w:rPr>
              <w:t>教师通过线上线下课堂，用ppt进行知识点的讲解，就重点和难点向学生提问，就学生提问进行讲解、交流。</w:t>
            </w:r>
          </w:p>
        </w:tc>
        <w:tc>
          <w:tcPr>
            <w:tcW w:w="1533" w:type="dxa"/>
            <w:shd w:val="clear" w:color="auto" w:fill="auto"/>
          </w:tcPr>
          <w:p>
            <w:pPr>
              <w:snapToGrid w:val="0"/>
              <w:spacing w:line="360" w:lineRule="auto"/>
              <w:jc w:val="left"/>
              <w:rPr>
                <w:rFonts w:hint="default" w:ascii="Times New Roman" w:hAnsi="Times New Roman" w:eastAsia="宋体"/>
                <w:szCs w:val="21"/>
                <w:lang w:val="en-US" w:eastAsia="zh-CN"/>
              </w:rPr>
            </w:pPr>
            <w:r>
              <w:rPr>
                <w:rFonts w:hint="eastAsia" w:ascii="Times New Roman" w:hAnsi="Times New Roman"/>
                <w:szCs w:val="21"/>
                <w:lang w:val="en-US" w:eastAsia="zh-CN"/>
              </w:rPr>
              <w:t>学生的回答情况计入平时表现。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75"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2</w:t>
            </w:r>
          </w:p>
        </w:tc>
        <w:tc>
          <w:tcPr>
            <w:tcW w:w="1134"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LO61</w:t>
            </w:r>
            <w:r>
              <w:rPr>
                <w:rFonts w:hint="eastAsia" w:ascii="Times New Roman" w:hAnsi="Times New Roman"/>
                <w:color w:val="000000"/>
                <w:kern w:val="0"/>
                <w:szCs w:val="21"/>
              </w:rPr>
              <w:t>2</w:t>
            </w:r>
          </w:p>
        </w:tc>
        <w:tc>
          <w:tcPr>
            <w:tcW w:w="2754" w:type="dxa"/>
            <w:shd w:val="clear" w:color="auto" w:fill="auto"/>
          </w:tcPr>
          <w:p>
            <w:pPr>
              <w:spacing w:line="360" w:lineRule="auto"/>
              <w:jc w:val="left"/>
              <w:rPr>
                <w:rFonts w:ascii="Times New Roman" w:hAnsi="Times New Roman"/>
                <w:color w:val="000000"/>
                <w:kern w:val="0"/>
                <w:szCs w:val="21"/>
              </w:rPr>
            </w:pPr>
            <w:r>
              <w:rPr>
                <w:rFonts w:ascii="Times New Roman" w:hAnsi="Times New Roman"/>
                <w:color w:val="000000"/>
                <w:kern w:val="0"/>
                <w:szCs w:val="21"/>
              </w:rPr>
              <w:t>新闻史的内容极为丰富，而本课程的教学，充分了解史实是进一步理解规律、获得启示的基础。学生的自学能力，根据需要进行专业文献检索的能力的培养尤为重要。</w:t>
            </w:r>
          </w:p>
        </w:tc>
        <w:tc>
          <w:tcPr>
            <w:tcW w:w="2234" w:type="dxa"/>
            <w:shd w:val="clear" w:color="auto" w:fill="auto"/>
          </w:tcPr>
          <w:p>
            <w:pPr>
              <w:snapToGrid w:val="0"/>
              <w:spacing w:line="360" w:lineRule="auto"/>
              <w:jc w:val="left"/>
              <w:rPr>
                <w:rFonts w:hint="default" w:ascii="Times New Roman" w:hAnsi="Times New Roman" w:eastAsia="宋体"/>
                <w:szCs w:val="21"/>
                <w:lang w:val="en-US" w:eastAsia="zh-CN"/>
              </w:rPr>
            </w:pPr>
            <w:r>
              <w:rPr>
                <w:rFonts w:hint="eastAsia" w:ascii="Times New Roman" w:hAnsi="Times New Roman"/>
                <w:szCs w:val="21"/>
                <w:lang w:val="en-US" w:eastAsia="zh-CN"/>
              </w:rPr>
              <w:t>就新闻史中的一个事件、一位人物，引导学生在兴趣和质疑的前提下，从网络、图书馆等处自行搜索文献，寻找解答。</w:t>
            </w:r>
          </w:p>
        </w:tc>
        <w:tc>
          <w:tcPr>
            <w:tcW w:w="1533" w:type="dxa"/>
            <w:shd w:val="clear" w:color="auto" w:fill="auto"/>
          </w:tcPr>
          <w:p>
            <w:pPr>
              <w:snapToGrid w:val="0"/>
              <w:spacing w:line="360" w:lineRule="auto"/>
              <w:jc w:val="left"/>
              <w:rPr>
                <w:rFonts w:hint="default" w:ascii="Times New Roman" w:hAnsi="Times New Roman" w:eastAsia="宋体"/>
                <w:szCs w:val="21"/>
                <w:lang w:val="en-US" w:eastAsia="zh-CN"/>
              </w:rPr>
            </w:pPr>
            <w:r>
              <w:rPr>
                <w:rFonts w:hint="eastAsia" w:ascii="Times New Roman" w:hAnsi="Times New Roman"/>
                <w:szCs w:val="21"/>
                <w:lang w:val="en-US" w:eastAsia="zh-CN"/>
              </w:rPr>
              <w:t>报刊史写作项目，锻炼学生发现问题、解决问题和写作的能力。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75"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3</w:t>
            </w:r>
          </w:p>
        </w:tc>
        <w:tc>
          <w:tcPr>
            <w:tcW w:w="1134"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LO</w:t>
            </w:r>
            <w:r>
              <w:rPr>
                <w:rFonts w:hint="eastAsia" w:ascii="Times New Roman" w:hAnsi="Times New Roman"/>
                <w:color w:val="000000"/>
                <w:kern w:val="0"/>
                <w:szCs w:val="21"/>
              </w:rPr>
              <w:t>4</w:t>
            </w:r>
            <w:r>
              <w:rPr>
                <w:rFonts w:ascii="Times New Roman" w:hAnsi="Times New Roman"/>
                <w:color w:val="000000"/>
                <w:kern w:val="0"/>
                <w:szCs w:val="21"/>
              </w:rPr>
              <w:t>13</w:t>
            </w:r>
          </w:p>
        </w:tc>
        <w:tc>
          <w:tcPr>
            <w:tcW w:w="2754" w:type="dxa"/>
            <w:shd w:val="clear" w:color="auto" w:fill="auto"/>
          </w:tcPr>
          <w:p>
            <w:pPr>
              <w:spacing w:line="360" w:lineRule="auto"/>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爱岗敬业：</w:t>
            </w:r>
            <w:r>
              <w:rPr>
                <w:rFonts w:hint="eastAsia" w:asciiTheme="majorBidi" w:hAnsiTheme="majorBidi" w:cstheme="majorBidi"/>
                <w:color w:val="000000" w:themeColor="text1"/>
                <w:kern w:val="0"/>
                <w:szCs w:val="21"/>
                <w14:textFill>
                  <w14:solidFill>
                    <w14:schemeClr w14:val="tx1"/>
                  </w14:solidFill>
                </w14:textFill>
              </w:rPr>
              <w:t>通过中外新闻传播优秀工作者的实例，</w:t>
            </w:r>
          </w:p>
          <w:p>
            <w:pPr>
              <w:spacing w:line="360" w:lineRule="auto"/>
              <w:jc w:val="left"/>
              <w:rPr>
                <w:rFonts w:ascii="Times New Roman" w:hAnsi="Times New Roman"/>
                <w:color w:val="000000"/>
                <w:kern w:val="0"/>
                <w:szCs w:val="21"/>
              </w:rPr>
            </w:pPr>
            <w:r>
              <w:rPr>
                <w:rFonts w:asciiTheme="majorBidi" w:hAnsiTheme="majorBidi" w:cstheme="majorBidi"/>
                <w:color w:val="000000" w:themeColor="text1"/>
                <w:kern w:val="0"/>
                <w:szCs w:val="21"/>
                <w14:textFill>
                  <w14:solidFill>
                    <w14:schemeClr w14:val="tx1"/>
                  </w14:solidFill>
                </w14:textFill>
              </w:rPr>
              <w:t>充分认识本专业</w:t>
            </w:r>
            <w:r>
              <w:rPr>
                <w:rFonts w:hint="eastAsia" w:asciiTheme="majorBidi" w:hAnsiTheme="majorBidi" w:cstheme="majorBidi"/>
                <w:color w:val="000000" w:themeColor="text1"/>
                <w:kern w:val="0"/>
                <w:szCs w:val="21"/>
                <w14:textFill>
                  <w14:solidFill>
                    <w14:schemeClr w14:val="tx1"/>
                  </w14:solidFill>
                </w14:textFill>
              </w:rPr>
              <w:t>应该</w:t>
            </w:r>
            <w:r>
              <w:rPr>
                <w:rFonts w:asciiTheme="majorBidi" w:hAnsiTheme="majorBidi" w:cstheme="majorBidi"/>
                <w:color w:val="000000" w:themeColor="text1"/>
                <w:kern w:val="0"/>
                <w:szCs w:val="21"/>
                <w14:textFill>
                  <w14:solidFill>
                    <w14:schemeClr w14:val="tx1"/>
                  </w14:solidFill>
                </w14:textFill>
              </w:rPr>
              <w:t>遵守</w:t>
            </w:r>
            <w:r>
              <w:rPr>
                <w:rFonts w:hint="eastAsia" w:asciiTheme="majorBidi" w:hAnsiTheme="majorBidi" w:cstheme="majorBidi"/>
                <w:color w:val="000000" w:themeColor="text1"/>
                <w:kern w:val="0"/>
                <w:szCs w:val="21"/>
                <w14:textFill>
                  <w14:solidFill>
                    <w14:schemeClr w14:val="tx1"/>
                  </w14:solidFill>
                </w14:textFill>
              </w:rPr>
              <w:t>的</w:t>
            </w:r>
            <w:r>
              <w:rPr>
                <w:rFonts w:asciiTheme="majorBidi" w:hAnsiTheme="majorBidi" w:cstheme="majorBidi"/>
                <w:color w:val="000000" w:themeColor="text1"/>
                <w:kern w:val="0"/>
                <w:szCs w:val="21"/>
                <w14:textFill>
                  <w14:solidFill>
                    <w14:schemeClr w14:val="tx1"/>
                  </w14:solidFill>
                </w14:textFill>
              </w:rPr>
              <w:t>职业规范，具备职业道德操守。</w:t>
            </w:r>
          </w:p>
        </w:tc>
        <w:tc>
          <w:tcPr>
            <w:tcW w:w="2234" w:type="dxa"/>
            <w:shd w:val="clear" w:color="auto" w:fill="auto"/>
          </w:tcPr>
          <w:p>
            <w:pPr>
              <w:snapToGrid w:val="0"/>
              <w:spacing w:line="360" w:lineRule="auto"/>
              <w:jc w:val="left"/>
              <w:rPr>
                <w:rFonts w:hint="default" w:ascii="Times New Roman" w:hAnsi="Times New Roman" w:eastAsia="宋体"/>
                <w:szCs w:val="21"/>
                <w:lang w:val="en-US" w:eastAsia="zh-CN"/>
              </w:rPr>
            </w:pPr>
            <w:r>
              <w:rPr>
                <w:rFonts w:hint="eastAsia" w:ascii="Times New Roman" w:hAnsi="Times New Roman"/>
                <w:szCs w:val="21"/>
                <w:lang w:val="en-US" w:eastAsia="zh-CN"/>
              </w:rPr>
              <w:t>将我党优秀新闻工作者的事迹作为课程思政项目，引导学生以史为鉴，以先烈们的英雄事迹为榜样</w:t>
            </w:r>
          </w:p>
        </w:tc>
        <w:tc>
          <w:tcPr>
            <w:tcW w:w="1533" w:type="dxa"/>
            <w:shd w:val="clear" w:color="auto" w:fill="auto"/>
          </w:tcPr>
          <w:p>
            <w:pPr>
              <w:snapToGrid w:val="0"/>
              <w:spacing w:line="360" w:lineRule="auto"/>
              <w:jc w:val="left"/>
              <w:rPr>
                <w:rFonts w:hint="default" w:ascii="Times New Roman" w:hAnsi="Times New Roman" w:eastAsia="宋体"/>
                <w:szCs w:val="21"/>
                <w:lang w:val="en-US" w:eastAsia="zh-CN"/>
              </w:rPr>
            </w:pPr>
            <w:r>
              <w:rPr>
                <w:rFonts w:hint="eastAsia" w:ascii="Times New Roman" w:hAnsi="Times New Roman"/>
                <w:szCs w:val="21"/>
                <w:lang w:val="en-US" w:eastAsia="zh-CN"/>
              </w:rPr>
              <w:t>报刊史项目写作、课堂演讲展示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4</w:t>
            </w:r>
          </w:p>
        </w:tc>
        <w:tc>
          <w:tcPr>
            <w:tcW w:w="1134"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LO711</w:t>
            </w:r>
          </w:p>
        </w:tc>
        <w:tc>
          <w:tcPr>
            <w:tcW w:w="2754" w:type="dxa"/>
            <w:shd w:val="clear" w:color="auto" w:fill="auto"/>
          </w:tcPr>
          <w:p>
            <w:pPr>
              <w:spacing w:line="360" w:lineRule="auto"/>
              <w:jc w:val="left"/>
              <w:rPr>
                <w:rFonts w:ascii="Times New Roman" w:hAnsi="Times New Roman"/>
                <w:color w:val="000000"/>
                <w:kern w:val="0"/>
                <w:szCs w:val="21"/>
              </w:rPr>
            </w:pPr>
            <w:r>
              <w:rPr>
                <w:rFonts w:ascii="Times New Roman" w:hAnsi="Times New Roman"/>
                <w:color w:val="000000"/>
                <w:kern w:val="0"/>
                <w:szCs w:val="21"/>
              </w:rPr>
              <w:t>通过了解历史上中共红色新闻事业与爱国进步新闻事业以及社会主义新闻体系的形成过程中涌现的先贤、前辈的奋斗、探索的精神和成果，构建、增强爱党爱国的理想信念。</w:t>
            </w:r>
          </w:p>
        </w:tc>
        <w:tc>
          <w:tcPr>
            <w:tcW w:w="2234" w:type="dxa"/>
            <w:shd w:val="clear" w:color="auto" w:fill="auto"/>
          </w:tcPr>
          <w:p>
            <w:pPr>
              <w:snapToGrid w:val="0"/>
              <w:spacing w:line="360" w:lineRule="auto"/>
              <w:jc w:val="left"/>
              <w:rPr>
                <w:rFonts w:ascii="Times New Roman" w:hAnsi="Times New Roman"/>
                <w:szCs w:val="21"/>
              </w:rPr>
            </w:pPr>
            <w:r>
              <w:rPr>
                <w:rFonts w:ascii="Times New Roman" w:hAnsi="Times New Roman"/>
                <w:szCs w:val="21"/>
              </w:rPr>
              <w:t>上海是中国新闻传播业的发祥地和重镇之一，中共红色新闻业、进步新闻业在上海的史迹是可贵的教学资源。</w:t>
            </w:r>
          </w:p>
        </w:tc>
        <w:tc>
          <w:tcPr>
            <w:tcW w:w="1533" w:type="dxa"/>
            <w:shd w:val="clear" w:color="auto" w:fill="auto"/>
          </w:tcPr>
          <w:p>
            <w:pPr>
              <w:snapToGrid w:val="0"/>
              <w:spacing w:line="360" w:lineRule="auto"/>
              <w:jc w:val="left"/>
              <w:rPr>
                <w:rFonts w:hint="default" w:ascii="Times New Roman" w:hAnsi="Times New Roman" w:eastAsia="宋体"/>
                <w:szCs w:val="21"/>
                <w:lang w:val="en-US" w:eastAsia="zh-CN"/>
              </w:rPr>
            </w:pPr>
            <w:r>
              <w:rPr>
                <w:rFonts w:ascii="Times New Roman" w:hAnsi="Times New Roman"/>
                <w:szCs w:val="21"/>
              </w:rPr>
              <w:t>争取参观一个中共早期在沪办刊遗址</w:t>
            </w:r>
            <w:r>
              <w:rPr>
                <w:rFonts w:hint="eastAsia" w:ascii="Times New Roman" w:hAnsi="Times New Roman"/>
                <w:szCs w:val="21"/>
                <w:lang w:eastAsia="zh-CN"/>
              </w:rPr>
              <w:t>（</w:t>
            </w:r>
            <w:r>
              <w:rPr>
                <w:rFonts w:hint="eastAsia" w:ascii="Times New Roman" w:hAnsi="Times New Roman"/>
                <w:szCs w:val="21"/>
                <w:lang w:val="en-US" w:eastAsia="zh-CN"/>
              </w:rPr>
              <w:t>特殊时期也可线上云观展</w:t>
            </w:r>
            <w:r>
              <w:rPr>
                <w:rFonts w:hint="eastAsia" w:ascii="Times New Roman" w:hAnsi="Times New Roman"/>
                <w:szCs w:val="21"/>
                <w:lang w:eastAsia="zh-CN"/>
              </w:rPr>
              <w:t>）。</w:t>
            </w:r>
            <w:r>
              <w:rPr>
                <w:rFonts w:hint="eastAsia" w:ascii="Times New Roman" w:hAnsi="Times New Roman"/>
                <w:szCs w:val="21"/>
                <w:lang w:val="en-US" w:eastAsia="zh-CN"/>
              </w:rPr>
              <w:t>通过课堂讨论交流体会。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675"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5</w:t>
            </w:r>
          </w:p>
        </w:tc>
        <w:tc>
          <w:tcPr>
            <w:tcW w:w="1134"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L031</w:t>
            </w:r>
          </w:p>
        </w:tc>
        <w:tc>
          <w:tcPr>
            <w:tcW w:w="2754" w:type="dxa"/>
            <w:shd w:val="clear" w:color="auto" w:fill="auto"/>
          </w:tcPr>
          <w:p>
            <w:pPr>
              <w:spacing w:line="360" w:lineRule="auto"/>
              <w:jc w:val="left"/>
              <w:rPr>
                <w:rFonts w:ascii="Times New Roman" w:hAnsi="Times New Roman"/>
                <w:color w:val="000000"/>
                <w:kern w:val="0"/>
                <w:szCs w:val="21"/>
              </w:rPr>
            </w:pPr>
            <w:r>
              <w:rPr>
                <w:rFonts w:ascii="Times New Roman" w:hAnsi="Times New Roman"/>
                <w:color w:val="000000"/>
                <w:kern w:val="0"/>
                <w:szCs w:val="21"/>
              </w:rPr>
              <w:t>了解新闻理论的诞生、发展概况，掌握新闻学的核心观点、基本知识，及中国学者的新闻理论的诠释。</w:t>
            </w:r>
          </w:p>
        </w:tc>
        <w:tc>
          <w:tcPr>
            <w:tcW w:w="2234" w:type="dxa"/>
            <w:shd w:val="clear" w:color="auto" w:fill="auto"/>
          </w:tcPr>
          <w:p>
            <w:pPr>
              <w:snapToGrid w:val="0"/>
              <w:spacing w:line="360" w:lineRule="auto"/>
              <w:jc w:val="left"/>
              <w:rPr>
                <w:rFonts w:ascii="Times New Roman" w:hAnsi="Times New Roman"/>
                <w:szCs w:val="21"/>
              </w:rPr>
            </w:pPr>
            <w:r>
              <w:rPr>
                <w:rFonts w:ascii="Times New Roman" w:hAnsi="Times New Roman"/>
                <w:szCs w:val="21"/>
              </w:rPr>
              <w:t>课堂讲授与学生检索相关论著相结合</w:t>
            </w:r>
          </w:p>
        </w:tc>
        <w:tc>
          <w:tcPr>
            <w:tcW w:w="1533" w:type="dxa"/>
            <w:shd w:val="clear" w:color="auto" w:fill="auto"/>
          </w:tcPr>
          <w:p>
            <w:pPr>
              <w:snapToGrid w:val="0"/>
              <w:spacing w:line="360" w:lineRule="auto"/>
              <w:jc w:val="left"/>
              <w:rPr>
                <w:rFonts w:ascii="Times New Roman" w:hAnsi="Times New Roman"/>
                <w:szCs w:val="21"/>
              </w:rPr>
            </w:pPr>
            <w:r>
              <w:rPr>
                <w:rFonts w:ascii="Times New Roman" w:hAnsi="Times New Roman"/>
                <w:szCs w:val="21"/>
              </w:rPr>
              <w:t>选择一个角度，运用新闻学理论来分析传媒现象。</w:t>
            </w:r>
          </w:p>
        </w:tc>
      </w:tr>
    </w:tbl>
    <w:p>
      <w:pPr>
        <w:snapToGrid w:val="0"/>
        <w:spacing w:line="288" w:lineRule="auto"/>
        <w:ind w:left="420" w:leftChars="200"/>
        <w:rPr>
          <w:rFonts w:ascii="黑体" w:hAnsi="宋体" w:eastAsia="黑体"/>
          <w:sz w:val="24"/>
          <w:highlight w:val="none"/>
        </w:rPr>
      </w:pPr>
    </w:p>
    <w:p>
      <w:pPr>
        <w:snapToGrid w:val="0"/>
        <w:spacing w:line="288" w:lineRule="auto"/>
        <w:ind w:left="420" w:leftChars="200"/>
        <w:rPr>
          <w:rFonts w:ascii="黑体" w:hAnsi="宋体" w:eastAsia="黑体"/>
          <w:sz w:val="24"/>
          <w:highlight w:val="none"/>
        </w:rPr>
      </w:pPr>
    </w:p>
    <w:p>
      <w:pPr>
        <w:snapToGrid w:val="0"/>
        <w:spacing w:line="288" w:lineRule="auto"/>
        <w:ind w:left="420" w:leftChars="200"/>
        <w:rPr>
          <w:rFonts w:ascii="黑体" w:hAnsi="宋体" w:eastAsia="黑体"/>
          <w:sz w:val="24"/>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六、</w:t>
      </w:r>
      <w:r>
        <w:rPr>
          <w:rFonts w:ascii="黑体" w:hAnsi="宋体" w:eastAsia="黑体"/>
          <w:sz w:val="24"/>
          <w:highlight w:val="none"/>
        </w:rPr>
        <w:t>课程内容（必填项）</w:t>
      </w:r>
    </w:p>
    <w:p>
      <w:pPr>
        <w:snapToGrid w:val="0"/>
        <w:spacing w:line="288" w:lineRule="auto"/>
        <w:ind w:firstLine="400" w:firstLineChars="200"/>
        <w:rPr>
          <w:rFonts w:hint="eastAsia" w:ascii="宋体" w:hAnsi="宋体"/>
          <w:b/>
          <w:bCs/>
          <w:sz w:val="20"/>
          <w:szCs w:val="20"/>
          <w:highlight w:val="none"/>
          <w:lang w:eastAsia="zh-CN"/>
        </w:rPr>
      </w:pPr>
      <w:r>
        <w:rPr>
          <w:bCs/>
          <w:sz w:val="20"/>
          <w:szCs w:val="20"/>
          <w:highlight w:val="none"/>
        </w:rPr>
        <w:t>此处</w:t>
      </w:r>
      <w:r>
        <w:rPr>
          <w:rFonts w:hint="eastAsia" w:ascii="宋体" w:hAnsi="宋体"/>
          <w:sz w:val="20"/>
          <w:szCs w:val="20"/>
          <w:highlight w:val="none"/>
        </w:rPr>
        <w:t>分单元</w:t>
      </w:r>
      <w:r>
        <w:rPr>
          <w:rFonts w:hint="eastAsia"/>
          <w:bCs/>
          <w:sz w:val="20"/>
          <w:szCs w:val="20"/>
          <w:highlight w:val="none"/>
        </w:rPr>
        <w:t>列出教学的知识点和能力要求。知识点</w:t>
      </w:r>
      <w:r>
        <w:rPr>
          <w:rFonts w:ascii="宋体" w:hAnsi="宋体"/>
          <w:sz w:val="20"/>
          <w:szCs w:val="20"/>
          <w:highlight w:val="none"/>
        </w:rPr>
        <w:t>用</w:t>
      </w:r>
      <w:r>
        <w:rPr>
          <w:rFonts w:hint="eastAsia" w:ascii="宋体" w:hAnsi="宋体"/>
          <w:sz w:val="20"/>
          <w:szCs w:val="20"/>
          <w:highlight w:val="none"/>
        </w:rPr>
        <w:t>布鲁姆认知能力的</w:t>
      </w:r>
      <w:r>
        <w:rPr>
          <w:rFonts w:hint="eastAsia" w:ascii="宋体" w:hAnsi="宋体"/>
          <w:bCs/>
          <w:sz w:val="20"/>
          <w:szCs w:val="20"/>
          <w:highlight w:val="none"/>
        </w:rPr>
        <w:t>6</w:t>
      </w:r>
      <w:r>
        <w:rPr>
          <w:rFonts w:hint="eastAsia" w:ascii="宋体" w:hAnsi="宋体"/>
          <w:sz w:val="20"/>
          <w:szCs w:val="20"/>
          <w:highlight w:val="none"/>
        </w:rPr>
        <w:t>种层次： (“</w:t>
      </w:r>
      <w:r>
        <w:rPr>
          <w:rFonts w:hint="eastAsia" w:ascii="宋体" w:hAnsi="宋体"/>
          <w:b/>
          <w:bCs/>
          <w:sz w:val="20"/>
          <w:szCs w:val="20"/>
          <w:highlight w:val="none"/>
        </w:rPr>
        <w:t>知道”、“理解”、“运用”、“分析”、“综合”、“评价”)</w:t>
      </w:r>
      <w:r>
        <w:rPr>
          <w:rFonts w:hint="eastAsia" w:ascii="宋体" w:hAnsi="宋体"/>
          <w:bCs/>
          <w:sz w:val="20"/>
          <w:szCs w:val="20"/>
          <w:highlight w:val="none"/>
        </w:rPr>
        <w:t>来</w:t>
      </w:r>
      <w:r>
        <w:rPr>
          <w:rFonts w:ascii="宋体" w:hAnsi="宋体"/>
          <w:sz w:val="20"/>
          <w:szCs w:val="20"/>
          <w:highlight w:val="none"/>
        </w:rPr>
        <w:t>表</w:t>
      </w:r>
      <w:r>
        <w:rPr>
          <w:rFonts w:hint="eastAsia" w:ascii="宋体" w:hAnsi="宋体"/>
          <w:sz w:val="20"/>
          <w:szCs w:val="20"/>
          <w:highlight w:val="none"/>
        </w:rPr>
        <w:t>达对学生学习要求上的差异</w:t>
      </w:r>
      <w:r>
        <w:rPr>
          <w:rFonts w:ascii="宋体" w:hAnsi="宋体"/>
          <w:sz w:val="20"/>
          <w:szCs w:val="20"/>
          <w:highlight w:val="none"/>
        </w:rPr>
        <w:t>。</w:t>
      </w:r>
      <w:r>
        <w:rPr>
          <w:rFonts w:hint="eastAsia" w:ascii="宋体" w:hAnsi="宋体"/>
          <w:sz w:val="20"/>
          <w:szCs w:val="20"/>
          <w:highlight w:val="none"/>
        </w:rPr>
        <w:t>能力要求必须选用合适的行为动词来表达。用文字说明教学的难点所在</w:t>
      </w:r>
      <w:r>
        <w:rPr>
          <w:rFonts w:hint="eastAsia" w:ascii="宋体" w:hAnsi="宋体"/>
          <w:sz w:val="20"/>
          <w:szCs w:val="20"/>
          <w:highlight w:val="none"/>
          <w:lang w:eastAsia="zh-CN"/>
        </w:rPr>
        <w:t>，</w:t>
      </w:r>
      <w:r>
        <w:rPr>
          <w:rFonts w:hint="eastAsia" w:ascii="宋体" w:hAnsi="宋体"/>
          <w:b/>
          <w:bCs/>
          <w:sz w:val="20"/>
          <w:szCs w:val="20"/>
          <w:highlight w:val="none"/>
          <w:lang w:eastAsia="zh-CN"/>
        </w:rPr>
        <w:t>并标明每个单元的理论课时数和实践课时数。</w:t>
      </w:r>
    </w:p>
    <w:p>
      <w:pPr>
        <w:snapToGrid w:val="0"/>
        <w:spacing w:line="288" w:lineRule="auto"/>
        <w:ind w:firstLine="402" w:firstLineChars="200"/>
        <w:rPr>
          <w:rFonts w:hint="eastAsia" w:ascii="宋体" w:hAnsi="宋体"/>
          <w:b/>
          <w:bCs/>
          <w:sz w:val="20"/>
          <w:szCs w:val="20"/>
          <w:highlight w:val="none"/>
          <w:lang w:eastAsia="zh-CN"/>
        </w:rPr>
      </w:pP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导论 2课时</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0-1  为什么要学新闻传播史？</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0-2  新闻传播史的内容</w:t>
      </w: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0-3  怎样学好新闻传播史</w:t>
      </w:r>
    </w:p>
    <w:p>
      <w:pPr>
        <w:snapToGrid w:val="0"/>
        <w:spacing w:line="288" w:lineRule="auto"/>
        <w:ind w:firstLine="400" w:firstLineChars="200"/>
        <w:rPr>
          <w:rFonts w:hint="eastAsia" w:ascii="宋体" w:hAnsi="宋体"/>
          <w:b w:val="0"/>
          <w:bCs w:val="0"/>
          <w:sz w:val="20"/>
          <w:szCs w:val="20"/>
          <w:highlight w:val="none"/>
          <w:lang w:eastAsia="zh-CN"/>
        </w:rPr>
      </w:pP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第一单元  中国古代的新闻传播活动  2课时</w:t>
      </w:r>
    </w:p>
    <w:p>
      <w:pPr>
        <w:snapToGrid w:val="0"/>
        <w:spacing w:line="288" w:lineRule="auto"/>
        <w:ind w:firstLine="400" w:firstLineChars="200"/>
        <w:rPr>
          <w:rFonts w:hint="eastAsia" w:ascii="宋体" w:hAnsi="宋体"/>
          <w:b w:val="0"/>
          <w:bCs w:val="0"/>
          <w:sz w:val="20"/>
          <w:szCs w:val="20"/>
          <w:highlight w:val="none"/>
          <w:lang w:val="en-US" w:eastAsia="zh-CN"/>
        </w:rPr>
      </w:pPr>
    </w:p>
    <w:p>
      <w:pPr>
        <w:numPr>
          <w:ilvl w:val="1"/>
          <w:numId w:val="1"/>
        </w:num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 xml:space="preserve"> 先秦时代的口耳传播与文字传播</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1-1-1 结绳、图画、雕刻、标识、烽烟、旗鼓、木铎与遒人</w:t>
      </w:r>
    </w:p>
    <w:p>
      <w:pPr>
        <w:numPr>
          <w:ilvl w:val="0"/>
          <w:numId w:val="0"/>
        </w:numPr>
        <w:snapToGrid w:val="0"/>
        <w:spacing w:line="288" w:lineRule="auto"/>
        <w:ind w:left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1-1-2  口耳传播的特征</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1-1-3 甲骨文与金石文（重点）</w:t>
      </w:r>
    </w:p>
    <w:p>
      <w:pPr>
        <w:numPr>
          <w:ilvl w:val="0"/>
          <w:numId w:val="0"/>
        </w:numPr>
        <w:snapToGrid w:val="0"/>
        <w:spacing w:line="288" w:lineRule="auto"/>
        <w:ind w:left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1-1-4 先秦信息活动的主要形式与性质</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p>
    <w:p>
      <w:pPr>
        <w:numPr>
          <w:ilvl w:val="1"/>
          <w:numId w:val="1"/>
        </w:numPr>
        <w:snapToGrid w:val="0"/>
        <w:spacing w:line="288" w:lineRule="auto"/>
        <w:ind w:left="0" w:leftChars="0"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 xml:space="preserve"> 两汉三国魏晋时代的信息传播</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1-2-1 书写手段：竹木简、丝帛、造纸术（重点）</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1-2-2 信息传递手段：驿站与传车、烽火台、《邮驿令》（曹魏）</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1-2-3 发布手段：“消息”（先秦）、布告、露布</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1-2-4 民间传播：童谣与谣言</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p>
    <w:p>
      <w:pPr>
        <w:numPr>
          <w:ilvl w:val="1"/>
          <w:numId w:val="1"/>
        </w:numPr>
        <w:snapToGrid w:val="0"/>
        <w:spacing w:line="288" w:lineRule="auto"/>
        <w:ind w:left="0" w:leftChars="0"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唐宋时期的信息传播</w:t>
      </w:r>
    </w:p>
    <w:p>
      <w:pPr>
        <w:numPr>
          <w:ilvl w:val="0"/>
          <w:numId w:val="0"/>
        </w:numPr>
        <w:snapToGrid w:val="0"/>
        <w:spacing w:line="288" w:lineRule="auto"/>
        <w:ind w:leftChars="200"/>
        <w:rPr>
          <w:rFonts w:hint="default" w:ascii="宋体" w:hAnsi="宋体"/>
          <w:b w:val="0"/>
          <w:bCs w:val="0"/>
          <w:sz w:val="20"/>
          <w:szCs w:val="20"/>
          <w:highlight w:val="none"/>
          <w:lang w:val="en-US" w:eastAsia="zh-CN"/>
        </w:rPr>
      </w:pPr>
    </w:p>
    <w:p>
      <w:pPr>
        <w:numPr>
          <w:ilvl w:val="0"/>
          <w:numId w:val="0"/>
        </w:numPr>
        <w:snapToGrid w:val="0"/>
        <w:spacing w:line="288" w:lineRule="auto"/>
        <w:ind w:left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1-3-1 唐代进奏院状、“开元杂报”和“敦煌进奏院状”（重点）</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1-3-2 唐代其他信息传播活动：士人诗赋、民间杂议、灯笼和旗帜等</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1-3-3 宋代“邸报”制度（重难点）</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1-3-4 宋代“小报”的盛行与查禁（重难点）</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1-3-5 宋代商业广告</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1-3-6 唐宋邸报的比较；“邸报”与“小报”的比较。（思考）</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p>
    <w:p>
      <w:pPr>
        <w:numPr>
          <w:ilvl w:val="1"/>
          <w:numId w:val="1"/>
        </w:numPr>
        <w:snapToGrid w:val="0"/>
        <w:spacing w:line="288" w:lineRule="auto"/>
        <w:ind w:left="0" w:leftChars="0"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 xml:space="preserve"> 元明清（前中期）的信息传播</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1-4-1 元代信息传播活动（简略）</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1-4-2 明代“邸报”制度：“邸报”传播流程；“邸报”内容；“邸报”性质与特征，明c代对“邸报”的管理（重点）</w:t>
      </w:r>
    </w:p>
    <w:p>
      <w:pPr>
        <w:numPr>
          <w:ilvl w:val="0"/>
          <w:numId w:val="0"/>
        </w:numPr>
        <w:snapToGrid w:val="0"/>
        <w:spacing w:line="288" w:lineRule="auto"/>
        <w:ind w:left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1-4-3 清前中期：清代官报邸报发布流程（宫门抄、上谕、臣僚章奏）；提塘报房（京塘、省塘）、提塘小报、民间报房（京报）、地方报房（辕门抄）、单页小报（突发性新闻）、其他信息传播方式（重点）</w:t>
      </w:r>
    </w:p>
    <w:p>
      <w:pPr>
        <w:numPr>
          <w:ilvl w:val="0"/>
          <w:numId w:val="0"/>
        </w:numPr>
        <w:snapToGrid w:val="0"/>
        <w:spacing w:line="288" w:lineRule="auto"/>
        <w:ind w:leftChars="200"/>
        <w:rPr>
          <w:rFonts w:hint="default" w:ascii="宋体" w:hAnsi="宋体"/>
          <w:b w:val="0"/>
          <w:bCs w:val="0"/>
          <w:sz w:val="20"/>
          <w:szCs w:val="20"/>
          <w:highlight w:val="none"/>
          <w:lang w:val="en-US" w:eastAsia="zh-CN"/>
        </w:rPr>
      </w:pPr>
    </w:p>
    <w:p>
      <w:pPr>
        <w:numPr>
          <w:ilvl w:val="1"/>
          <w:numId w:val="1"/>
        </w:numPr>
        <w:snapToGrid w:val="0"/>
        <w:spacing w:line="288" w:lineRule="auto"/>
        <w:ind w:left="0" w:leftChars="0"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单元小结，阶段性作业</w:t>
      </w:r>
    </w:p>
    <w:p>
      <w:pPr>
        <w:numPr>
          <w:ilvl w:val="0"/>
          <w:numId w:val="0"/>
        </w:numPr>
        <w:snapToGrid w:val="0"/>
        <w:spacing w:line="288" w:lineRule="auto"/>
        <w:ind w:leftChars="200"/>
        <w:rPr>
          <w:rFonts w:hint="default" w:ascii="宋体" w:hAnsi="宋体"/>
          <w:b w:val="0"/>
          <w:bCs w:val="0"/>
          <w:sz w:val="20"/>
          <w:szCs w:val="20"/>
          <w:highlight w:val="none"/>
          <w:lang w:val="en-US" w:eastAsia="zh-CN"/>
        </w:rPr>
      </w:pP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第二单元  晚清民初的新闻传播事业  4课时</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2-1  近代外国人在华办报</w:t>
      </w: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2-1-1 西方殖民者扩张与近代报刊来华的关系</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2-1-2 马礼逊、米怜的故事：《察世俗每月统计传》（第一份来华外文报刊）（重点）</w:t>
      </w: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2-1-3 澳门、广州、香港、上海的中英文报刊</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2-1-4 鸦片战争后外报向内地扩张</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2-1-5 在华外报的历史作用（重点）</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2-2 国人办报活动的兴起</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2-2-1 林则徐、魏源、洪仁玕、王韬、郑观应等的办报活动</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2-2-2 康有为、梁启超与维新派报刊（重难点）</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2-2-3 国人第一次办报高潮</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2-3 清末新政与新闻事业</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2-3-1 清末海外华人报纸状况</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2-3-2 维新派、革命派在海外办报状况、两派大论战（重点）</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2-3-3 清末新政后的民营新闻事业</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2-3-4 立宪派报刊、革命派报刊、苏报案（重点）</w:t>
      </w: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2-3-5 新式官报与《大清报律》</w:t>
      </w: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2-3-6 资产阶级各派别新闻思想比较（思考）</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2-4 民国初年的新闻事业</w:t>
      </w: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2-4-1 袁世凯统治时期的报业：政党报刊大发展、袁世凯对报刊的控制与收买、癸丑报灾、（重点）袁世凯政府的报业法规、反袁斗争，北洋军阀统治下的报业复苏</w:t>
      </w: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2-4-2 新闻业务的变迁与著名记者（重点）</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第三单元  五四时期、大革命时期和内战时期的新闻事业（1919~1937）  4课时</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3-1-1 《新青年》与新文化运动（重点）</w:t>
      </w: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3-1-2 中国共产党的成立与无产阶级新闻事业的诞生（思政重点）</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3-1-3 党的第一次新闻工作改革、新闻学研究与新闻教育（重难点）</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3-2-1 国共合作时期的新闻传播事业</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3-2-2 北伐战争中的革命报刊（重点）</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3-3-1 内战时期国民党统治区的新闻传播事业</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3-3-2 内战时期革命根据地的新闻传播事业</w:t>
      </w: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3-4-1 新闻学研究与新闻教育事业的发展（重点）</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 xml:space="preserve">第四单元  抗日战争与解放战争时期的新闻事业（1937~1949）  </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4-1-1 抗日民主根据地的新闻传播事业</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4-1-2 国统区新闻传播事业与境外抗日宣传</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4-1-3 沦陷区的新闻传播事业</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4-2-1 国民党的新闻统制与新闻界的抗争</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4-2-2 解放区的“两条新闻战线”</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第五单元  建国初期的新闻传播事业  4课时</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5-1-1 社会主义新闻传播事业的改造与初建</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5-1-2 1956年社会主义新闻工作改革（重难点）</w:t>
      </w: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5-1-3 新闻传播事业的曲折发展</w:t>
      </w:r>
    </w:p>
    <w:p>
      <w:pPr>
        <w:snapToGrid w:val="0"/>
        <w:spacing w:line="288" w:lineRule="auto"/>
        <w:ind w:firstLine="400" w:firstLineChars="200"/>
        <w:rPr>
          <w:rFonts w:hint="default" w:ascii="宋体" w:hAnsi="宋体"/>
          <w:b w:val="0"/>
          <w:bCs w:val="0"/>
          <w:sz w:val="20"/>
          <w:szCs w:val="20"/>
          <w:highlight w:val="none"/>
          <w:lang w:val="en-US" w:eastAsia="zh-CN"/>
        </w:rPr>
      </w:pP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第六单元  改革开放后的新闻传播事业</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6-1-2 回归新闻本位（1978年~1992年）</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6-1-3 市场化与集团化（1992年以后）</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6-1-4 改革开放后的广播电视事业</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第七单元  外国新闻传播事业：北美篇  4课时</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7-1-1 美国的报刊事业：殖民地时期的报刊、政党时期的报刊、廉价报纸的兴起（重点）、新式新闻事业</w:t>
      </w: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7-1-2 美国的广播电视事业</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第八单元  外国新闻传播事业：欧洲、日本、俄罗斯篇  4课时</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8-1-1 欧洲资产阶级革命与报刊的繁荣、 欧洲的广播电视事业：以英国、法国、德国为例</w:t>
      </w: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8-1-2 日本和俄罗斯的新闻传播事业</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第九单元  国际互联网传播事业  2课时</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9-1-1 国际互联网的诞生与发展、互联网对新闻传播事业的影响</w:t>
      </w: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9-1-2 互联网与世界新闻传播新秩序</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总复习</w:t>
      </w:r>
    </w:p>
    <w:p>
      <w:pPr>
        <w:snapToGrid w:val="0"/>
        <w:spacing w:line="288" w:lineRule="auto"/>
        <w:ind w:firstLine="402" w:firstLineChars="200"/>
        <w:rPr>
          <w:rFonts w:hint="default" w:ascii="宋体" w:hAnsi="宋体"/>
          <w:b/>
          <w:bCs/>
          <w:sz w:val="20"/>
          <w:szCs w:val="20"/>
          <w:highlight w:val="none"/>
          <w:lang w:val="en-US" w:eastAsia="zh-CN"/>
        </w:rPr>
      </w:pPr>
    </w:p>
    <w:p>
      <w:pPr>
        <w:snapToGrid w:val="0"/>
        <w:spacing w:line="288" w:lineRule="auto"/>
        <w:ind w:right="26"/>
        <w:rPr>
          <w:sz w:val="20"/>
          <w:szCs w:val="20"/>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lang w:val="en-US" w:eastAsia="zh-CN"/>
        </w:rPr>
        <w:t>七</w:t>
      </w:r>
      <w:r>
        <w:rPr>
          <w:rFonts w:hint="eastAsia" w:ascii="黑体" w:hAnsi="宋体" w:eastAsia="黑体"/>
          <w:sz w:val="24"/>
          <w:highlight w:val="none"/>
        </w:rPr>
        <w:t>、课内实验名称及基本要求（选填，适用于课内实验）</w:t>
      </w:r>
    </w:p>
    <w:p>
      <w:pPr>
        <w:snapToGrid w:val="0"/>
        <w:spacing w:line="288" w:lineRule="auto"/>
        <w:ind w:right="26" w:firstLine="400" w:firstLineChars="200"/>
        <w:rPr>
          <w:sz w:val="20"/>
          <w:szCs w:val="20"/>
          <w:highlight w:val="none"/>
        </w:rPr>
      </w:pPr>
      <w:r>
        <w:rPr>
          <w:rFonts w:hint="eastAsia"/>
          <w:sz w:val="20"/>
          <w:szCs w:val="20"/>
          <w:highlight w:val="none"/>
        </w:rPr>
        <w:t>列出课程实验的名称、学时数、实验类型（演示型、验证型、设计型、综合型）及每个实验的内容简述。</w:t>
      </w:r>
    </w:p>
    <w:p>
      <w:pPr>
        <w:snapToGrid w:val="0"/>
        <w:spacing w:line="288" w:lineRule="auto"/>
        <w:ind w:right="2520" w:firstLine="400" w:firstLineChars="200"/>
        <w:rPr>
          <w:rFonts w:hint="eastAsia"/>
          <w:sz w:val="20"/>
          <w:szCs w:val="20"/>
          <w:highlight w:val="none"/>
          <w:lang w:val="en-US" w:eastAsia="zh-CN"/>
        </w:rPr>
      </w:pPr>
    </w:p>
    <w:p>
      <w:pPr>
        <w:snapToGrid w:val="0"/>
        <w:spacing w:line="288" w:lineRule="auto"/>
        <w:ind w:right="2520" w:firstLine="400" w:firstLineChars="200"/>
        <w:rPr>
          <w:rFonts w:hint="eastAsia" w:eastAsia="宋体"/>
          <w:sz w:val="20"/>
          <w:szCs w:val="20"/>
          <w:highlight w:val="none"/>
          <w:lang w:val="en-US" w:eastAsia="zh-CN"/>
        </w:rPr>
      </w:pPr>
      <w:r>
        <w:rPr>
          <w:rFonts w:hint="eastAsia"/>
          <w:sz w:val="20"/>
          <w:szCs w:val="20"/>
          <w:highlight w:val="none"/>
          <w:lang w:val="en-US" w:eastAsia="zh-CN"/>
        </w:rPr>
        <w:t>无</w:t>
      </w:r>
    </w:p>
    <w:p>
      <w:pPr>
        <w:snapToGrid w:val="0"/>
        <w:spacing w:line="288" w:lineRule="auto"/>
        <w:ind w:right="2520" w:firstLine="400" w:firstLineChars="200"/>
        <w:rPr>
          <w:sz w:val="20"/>
          <w:szCs w:val="20"/>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lang w:val="en-US" w:eastAsia="zh-CN"/>
        </w:rPr>
        <w:t>七</w:t>
      </w:r>
      <w:r>
        <w:rPr>
          <w:rFonts w:hint="eastAsia" w:ascii="黑体" w:hAnsi="宋体" w:eastAsia="黑体"/>
          <w:sz w:val="24"/>
          <w:highlight w:val="none"/>
        </w:rPr>
        <w:t>、实践环节各阶段名称及基本要求（选填，适用于集中实践、实习、毕业设计等）</w:t>
      </w:r>
    </w:p>
    <w:p>
      <w:pPr>
        <w:snapToGrid w:val="0"/>
        <w:spacing w:line="288" w:lineRule="auto"/>
        <w:ind w:right="26" w:firstLine="400" w:firstLineChars="200"/>
        <w:rPr>
          <w:rFonts w:hint="eastAsia" w:ascii="宋体" w:hAnsi="宋体"/>
          <w:sz w:val="20"/>
          <w:szCs w:val="20"/>
          <w:highlight w:val="none"/>
        </w:rPr>
      </w:pPr>
      <w:r>
        <w:rPr>
          <w:rFonts w:hint="eastAsia" w:ascii="宋体" w:hAnsi="宋体"/>
          <w:sz w:val="20"/>
          <w:szCs w:val="20"/>
          <w:highlight w:val="none"/>
        </w:rPr>
        <w:t>列出实践环节各阶段的名称、实践的天数或周数及每个阶段的内容简述。</w:t>
      </w:r>
    </w:p>
    <w:p>
      <w:pPr>
        <w:snapToGrid w:val="0"/>
        <w:spacing w:line="288" w:lineRule="auto"/>
        <w:ind w:right="26" w:firstLine="400" w:firstLineChars="200"/>
        <w:rPr>
          <w:rFonts w:hint="eastAsia" w:ascii="宋体" w:hAnsi="宋体"/>
          <w:sz w:val="20"/>
          <w:szCs w:val="20"/>
          <w:highlight w:val="none"/>
        </w:rPr>
      </w:pPr>
    </w:p>
    <w:p>
      <w:pPr>
        <w:snapToGrid w:val="0"/>
        <w:spacing w:line="288" w:lineRule="auto"/>
        <w:ind w:right="26" w:firstLine="400" w:firstLineChars="200"/>
        <w:rPr>
          <w:rFonts w:hint="eastAsia" w:ascii="宋体" w:hAnsi="宋体" w:eastAsia="宋体"/>
          <w:sz w:val="20"/>
          <w:szCs w:val="20"/>
          <w:highlight w:val="none"/>
          <w:lang w:val="en-US" w:eastAsia="zh-CN"/>
        </w:rPr>
      </w:pPr>
      <w:r>
        <w:rPr>
          <w:rFonts w:hint="eastAsia" w:ascii="宋体" w:hAnsi="宋体"/>
          <w:sz w:val="20"/>
          <w:szCs w:val="20"/>
          <w:highlight w:val="none"/>
          <w:lang w:val="en-US" w:eastAsia="zh-CN"/>
        </w:rPr>
        <w:t>无</w:t>
      </w:r>
    </w:p>
    <w:p>
      <w:pPr>
        <w:snapToGrid w:val="0"/>
        <w:spacing w:line="288" w:lineRule="auto"/>
        <w:ind w:right="26" w:firstLine="400" w:firstLineChars="200"/>
        <w:rPr>
          <w:rFonts w:hint="eastAsia" w:ascii="宋体" w:hAnsi="宋体"/>
          <w:sz w:val="20"/>
          <w:szCs w:val="20"/>
          <w:highlight w:val="none"/>
        </w:rPr>
      </w:pPr>
    </w:p>
    <w:p>
      <w:pPr>
        <w:snapToGrid w:val="0"/>
        <w:spacing w:line="288" w:lineRule="auto"/>
        <w:ind w:right="26" w:firstLine="400" w:firstLineChars="200"/>
        <w:rPr>
          <w:rFonts w:hint="eastAsia" w:ascii="宋体" w:hAnsi="宋体"/>
          <w:sz w:val="20"/>
          <w:szCs w:val="20"/>
          <w:highlight w:val="none"/>
        </w:rPr>
      </w:pPr>
    </w:p>
    <w:p>
      <w:pPr>
        <w:snapToGrid w:val="0"/>
        <w:spacing w:line="288" w:lineRule="auto"/>
        <w:ind w:right="2520" w:firstLine="480" w:firstLineChars="200"/>
        <w:rPr>
          <w:sz w:val="20"/>
          <w:szCs w:val="20"/>
          <w:highlight w:val="none"/>
        </w:rPr>
      </w:pPr>
      <w:r>
        <w:rPr>
          <w:rFonts w:hint="eastAsia" w:ascii="黑体" w:hAnsi="宋体" w:eastAsia="黑体"/>
          <w:sz w:val="24"/>
          <w:highlight w:val="none"/>
          <w:lang w:val="en-US" w:eastAsia="zh-CN"/>
        </w:rPr>
        <w:t>八</w:t>
      </w:r>
      <w:r>
        <w:rPr>
          <w:rFonts w:hint="eastAsia" w:ascii="黑体" w:hAnsi="宋体" w:eastAsia="黑体"/>
          <w:sz w:val="24"/>
          <w:highlight w:val="none"/>
        </w:rPr>
        <w:t>、评价方式与成绩</w:t>
      </w:r>
      <w:r>
        <w:rPr>
          <w:rFonts w:ascii="黑体" w:hAnsi="宋体" w:eastAsia="黑体"/>
          <w:sz w:val="24"/>
          <w:highlight w:val="none"/>
        </w:rPr>
        <w:t>（必填项）</w:t>
      </w:r>
    </w:p>
    <w:p>
      <w:pPr>
        <w:widowControl/>
        <w:spacing w:beforeLines="50" w:afterLines="50" w:line="288" w:lineRule="auto"/>
        <w:jc w:val="left"/>
        <w:rPr>
          <w:rFonts w:ascii="黑体" w:hAnsi="宋体" w:eastAsia="黑体"/>
          <w:sz w:val="24"/>
          <w:highlight w:val="none"/>
        </w:rPr>
      </w:pPr>
    </w:p>
    <w:p>
      <w:pPr>
        <w:snapToGrid w:val="0"/>
        <w:spacing w:beforeLines="50" w:line="288" w:lineRule="auto"/>
        <w:ind w:firstLine="400" w:firstLineChars="200"/>
        <w:rPr>
          <w:rFonts w:ascii="宋体" w:hAnsi="宋体"/>
          <w:sz w:val="20"/>
          <w:szCs w:val="20"/>
          <w:highlight w:val="none"/>
        </w:rPr>
      </w:pPr>
      <w:r>
        <w:rPr>
          <w:rFonts w:hint="eastAsia" w:ascii="宋体" w:hAnsi="宋体"/>
          <w:sz w:val="20"/>
          <w:szCs w:val="20"/>
          <w:highlight w:val="none"/>
        </w:rPr>
        <w:t>“</w:t>
      </w:r>
      <w:r>
        <w:rPr>
          <w:rFonts w:ascii="宋体" w:hAnsi="宋体"/>
          <w:sz w:val="20"/>
          <w:szCs w:val="20"/>
          <w:highlight w:val="none"/>
        </w:rPr>
        <w:t>1</w:t>
      </w:r>
      <w:r>
        <w:rPr>
          <w:rFonts w:hint="eastAsia" w:ascii="宋体" w:hAnsi="宋体"/>
          <w:sz w:val="20"/>
          <w:szCs w:val="20"/>
          <w:highlight w:val="none"/>
        </w:rPr>
        <w:t>”一般为总结性评价, “</w:t>
      </w:r>
      <w:r>
        <w:rPr>
          <w:rFonts w:ascii="宋体" w:hAnsi="宋体"/>
          <w:sz w:val="20"/>
          <w:szCs w:val="20"/>
          <w:highlight w:val="none"/>
        </w:rPr>
        <w:t>X</w:t>
      </w:r>
      <w:r>
        <w:rPr>
          <w:rFonts w:hint="eastAsia" w:ascii="宋体" w:hAnsi="宋体"/>
          <w:sz w:val="20"/>
          <w:szCs w:val="20"/>
          <w:highlight w:val="none"/>
        </w:rPr>
        <w:t>”为过程性评价，“</w:t>
      </w:r>
      <w:r>
        <w:rPr>
          <w:rFonts w:ascii="宋体" w:hAnsi="宋体"/>
          <w:sz w:val="20"/>
          <w:szCs w:val="20"/>
          <w:highlight w:val="none"/>
        </w:rPr>
        <w:t>X</w:t>
      </w:r>
      <w:r>
        <w:rPr>
          <w:rFonts w:hint="eastAsia" w:ascii="宋体" w:hAnsi="宋体"/>
          <w:sz w:val="20"/>
          <w:szCs w:val="20"/>
          <w:highlight w:val="none"/>
        </w:rPr>
        <w:t>”的</w:t>
      </w:r>
      <w:r>
        <w:rPr>
          <w:rFonts w:hint="eastAsia"/>
          <w:color w:val="000000"/>
          <w:sz w:val="20"/>
          <w:szCs w:val="20"/>
          <w:highlight w:val="none"/>
        </w:rPr>
        <w:t>次数一般不少于3次，无论是</w:t>
      </w:r>
      <w:r>
        <w:rPr>
          <w:rFonts w:hint="eastAsia" w:ascii="宋体" w:hAnsi="宋体"/>
          <w:sz w:val="20"/>
          <w:szCs w:val="20"/>
          <w:highlight w:val="none"/>
        </w:rPr>
        <w:t>“</w:t>
      </w:r>
      <w:r>
        <w:rPr>
          <w:rFonts w:ascii="宋体" w:hAnsi="宋体"/>
          <w:sz w:val="20"/>
          <w:szCs w:val="20"/>
          <w:highlight w:val="none"/>
        </w:rPr>
        <w:t>1</w:t>
      </w:r>
      <w:r>
        <w:rPr>
          <w:rFonts w:hint="eastAsia" w:ascii="宋体" w:hAnsi="宋体"/>
          <w:sz w:val="20"/>
          <w:szCs w:val="20"/>
          <w:highlight w:val="none"/>
        </w:rPr>
        <w:t>”、还是“</w:t>
      </w:r>
      <w:r>
        <w:rPr>
          <w:rFonts w:ascii="宋体" w:hAnsi="宋体"/>
          <w:sz w:val="20"/>
          <w:szCs w:val="20"/>
          <w:highlight w:val="none"/>
        </w:rPr>
        <w:t>X</w:t>
      </w:r>
      <w:r>
        <w:rPr>
          <w:rFonts w:hint="eastAsia" w:ascii="宋体" w:hAnsi="宋体"/>
          <w:sz w:val="20"/>
          <w:szCs w:val="20"/>
          <w:highlight w:val="none"/>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highlight w:val="none"/>
        </w:rPr>
      </w:pPr>
      <w:r>
        <w:rPr>
          <w:rFonts w:hint="eastAsia"/>
          <w:color w:val="000000"/>
          <w:sz w:val="20"/>
          <w:szCs w:val="20"/>
          <w:highlight w:val="none"/>
        </w:rPr>
        <w:t>常用</w:t>
      </w:r>
      <w:r>
        <w:rPr>
          <w:color w:val="000000"/>
          <w:sz w:val="20"/>
          <w:szCs w:val="20"/>
          <w:highlight w:val="none"/>
        </w:rPr>
        <w:t>的</w:t>
      </w:r>
      <w:r>
        <w:rPr>
          <w:rFonts w:hint="eastAsia"/>
          <w:color w:val="000000"/>
          <w:sz w:val="20"/>
          <w:szCs w:val="20"/>
          <w:highlight w:val="none"/>
        </w:rPr>
        <w:t>评价</w:t>
      </w:r>
      <w:r>
        <w:rPr>
          <w:color w:val="000000"/>
          <w:sz w:val="20"/>
          <w:szCs w:val="20"/>
          <w:highlight w:val="none"/>
        </w:rPr>
        <w:t>方式</w:t>
      </w:r>
      <w:r>
        <w:rPr>
          <w:rFonts w:hint="eastAsia"/>
          <w:color w:val="000000"/>
          <w:sz w:val="20"/>
          <w:szCs w:val="20"/>
          <w:highlight w:val="none"/>
        </w:rPr>
        <w:t>有</w:t>
      </w:r>
      <w:r>
        <w:rPr>
          <w:color w:val="000000"/>
          <w:sz w:val="20"/>
          <w:szCs w:val="20"/>
          <w:highlight w:val="none"/>
        </w:rPr>
        <w:t>：</w:t>
      </w:r>
      <w:r>
        <w:rPr>
          <w:rFonts w:hint="eastAsia" w:ascii="宋体" w:hAnsi="宋体"/>
          <w:sz w:val="20"/>
          <w:szCs w:val="20"/>
          <w:highlight w:val="none"/>
        </w:rPr>
        <w:t>课堂展示、口头</w:t>
      </w:r>
      <w:r>
        <w:rPr>
          <w:rFonts w:ascii="宋体" w:hAnsi="宋体"/>
          <w:sz w:val="20"/>
          <w:szCs w:val="20"/>
          <w:highlight w:val="none"/>
        </w:rPr>
        <w:t>报告、</w:t>
      </w:r>
      <w:r>
        <w:rPr>
          <w:rFonts w:hint="eastAsia" w:ascii="宋体" w:hAnsi="宋体"/>
          <w:sz w:val="20"/>
          <w:szCs w:val="20"/>
          <w:highlight w:val="none"/>
        </w:rPr>
        <w:t>论文、日志、反思</w:t>
      </w:r>
      <w:r>
        <w:rPr>
          <w:rFonts w:ascii="宋体" w:hAnsi="宋体"/>
          <w:sz w:val="20"/>
          <w:szCs w:val="20"/>
          <w:highlight w:val="none"/>
        </w:rPr>
        <w:t>、</w:t>
      </w:r>
      <w:r>
        <w:rPr>
          <w:rFonts w:hint="eastAsia" w:ascii="宋体" w:hAnsi="宋体"/>
          <w:sz w:val="20"/>
          <w:szCs w:val="20"/>
          <w:highlight w:val="none"/>
        </w:rPr>
        <w:t>调查报告、个人项目报告、小组</w:t>
      </w:r>
      <w:r>
        <w:rPr>
          <w:rFonts w:ascii="宋体" w:hAnsi="宋体"/>
          <w:sz w:val="20"/>
          <w:szCs w:val="20"/>
          <w:highlight w:val="none"/>
        </w:rPr>
        <w:t>项目报告、</w:t>
      </w:r>
      <w:r>
        <w:rPr>
          <w:rFonts w:hint="eastAsia" w:ascii="宋体" w:hAnsi="宋体"/>
          <w:sz w:val="20"/>
          <w:szCs w:val="20"/>
          <w:highlight w:val="none"/>
        </w:rPr>
        <w:t>实验报告、读书报告、作品（选集</w:t>
      </w:r>
      <w:r>
        <w:rPr>
          <w:rFonts w:ascii="宋体" w:hAnsi="宋体"/>
          <w:sz w:val="20"/>
          <w:szCs w:val="20"/>
          <w:highlight w:val="none"/>
        </w:rPr>
        <w:t>）</w:t>
      </w:r>
      <w:r>
        <w:rPr>
          <w:rFonts w:hint="eastAsia" w:ascii="宋体" w:hAnsi="宋体"/>
          <w:sz w:val="20"/>
          <w:szCs w:val="20"/>
          <w:highlight w:val="none"/>
        </w:rPr>
        <w:t>、口试、课堂小测验、</w:t>
      </w:r>
      <w:r>
        <w:rPr>
          <w:rFonts w:ascii="宋体" w:hAnsi="宋体"/>
          <w:sz w:val="20"/>
          <w:szCs w:val="20"/>
          <w:highlight w:val="none"/>
        </w:rPr>
        <w:t>期终闭卷考、期终开卷考、</w:t>
      </w:r>
      <w:r>
        <w:rPr>
          <w:rFonts w:hint="eastAsia" w:ascii="宋体" w:hAnsi="宋体"/>
          <w:sz w:val="20"/>
          <w:szCs w:val="20"/>
          <w:highlight w:val="none"/>
        </w:rPr>
        <w:t>工作</w:t>
      </w:r>
      <w:r>
        <w:rPr>
          <w:rFonts w:ascii="宋体" w:hAnsi="宋体"/>
          <w:sz w:val="20"/>
          <w:szCs w:val="20"/>
          <w:highlight w:val="none"/>
        </w:rPr>
        <w:t>现场评估、</w:t>
      </w:r>
      <w:r>
        <w:rPr>
          <w:rFonts w:hint="eastAsia" w:ascii="宋体" w:hAnsi="宋体"/>
          <w:sz w:val="20"/>
          <w:szCs w:val="20"/>
          <w:highlight w:val="none"/>
        </w:rPr>
        <w:t>自我</w:t>
      </w:r>
      <w:r>
        <w:rPr>
          <w:rFonts w:ascii="宋体" w:hAnsi="宋体"/>
          <w:sz w:val="20"/>
          <w:szCs w:val="20"/>
          <w:highlight w:val="none"/>
        </w:rPr>
        <w:t>评估、</w:t>
      </w:r>
      <w:r>
        <w:rPr>
          <w:rFonts w:hint="eastAsia" w:ascii="宋体" w:hAnsi="宋体"/>
          <w:sz w:val="20"/>
          <w:szCs w:val="20"/>
          <w:highlight w:val="none"/>
        </w:rPr>
        <w:t>同辈</w:t>
      </w:r>
      <w:r>
        <w:rPr>
          <w:rFonts w:ascii="宋体" w:hAnsi="宋体"/>
          <w:sz w:val="20"/>
          <w:szCs w:val="20"/>
          <w:highlight w:val="none"/>
        </w:rPr>
        <w:t>评估</w:t>
      </w:r>
      <w:r>
        <w:rPr>
          <w:rFonts w:hint="eastAsia" w:ascii="宋体" w:hAnsi="宋体"/>
          <w:sz w:val="20"/>
          <w:szCs w:val="20"/>
          <w:highlight w:val="none"/>
        </w:rPr>
        <w:t>等等</w:t>
      </w:r>
      <w:r>
        <w:rPr>
          <w:rFonts w:ascii="宋体" w:hAnsi="宋体"/>
          <w:sz w:val="20"/>
          <w:szCs w:val="20"/>
          <w:highlight w:val="none"/>
        </w:rPr>
        <w:t>。</w:t>
      </w:r>
      <w:r>
        <w:rPr>
          <w:rFonts w:hint="eastAsia" w:ascii="宋体" w:hAnsi="宋体"/>
          <w:b/>
          <w:sz w:val="20"/>
          <w:szCs w:val="20"/>
          <w:highlight w:val="none"/>
        </w:rPr>
        <w:t>一般课外扩展阅读的检查评价应该成为“X”中的一部分。</w:t>
      </w:r>
    </w:p>
    <w:p>
      <w:pPr>
        <w:snapToGrid w:val="0"/>
        <w:spacing w:line="288" w:lineRule="auto"/>
        <w:ind w:right="26" w:firstLine="400" w:firstLineChars="200"/>
        <w:rPr>
          <w:rFonts w:hint="eastAsia" w:ascii="宋体" w:hAnsi="宋体"/>
          <w:sz w:val="20"/>
          <w:szCs w:val="20"/>
          <w:highlight w:val="none"/>
        </w:rPr>
      </w:pPr>
      <w:r>
        <w:rPr>
          <w:rFonts w:hint="eastAsia" w:ascii="宋体" w:hAnsi="宋体"/>
          <w:sz w:val="20"/>
          <w:szCs w:val="20"/>
          <w:highlight w:val="none"/>
        </w:rPr>
        <w:t>同一门课程由多个教师共同授课的，由课程组共同讨论决定X的内容、次数及比例。</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highlight w:val="none"/>
              </w:rPr>
            </w:pPr>
            <w:r>
              <w:rPr>
                <w:rFonts w:hint="eastAsia" w:ascii="宋体" w:hAnsi="宋体"/>
                <w:bCs/>
                <w:color w:val="000000"/>
                <w:szCs w:val="20"/>
                <w:highlight w:val="none"/>
              </w:rPr>
              <w:t>总评构成（1+</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评价方式</w:t>
            </w:r>
          </w:p>
        </w:tc>
        <w:tc>
          <w:tcPr>
            <w:tcW w:w="184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1</w:t>
            </w:r>
          </w:p>
        </w:tc>
        <w:tc>
          <w:tcPr>
            <w:tcW w:w="5103" w:type="dxa"/>
            <w:shd w:val="clear" w:color="auto" w:fill="auto"/>
            <w:vAlign w:val="top"/>
          </w:tcPr>
          <w:p>
            <w:pPr>
              <w:snapToGrid w:val="0"/>
              <w:spacing w:beforeLines="50" w:afterLines="50"/>
              <w:jc w:val="center"/>
              <w:rPr>
                <w:rFonts w:hint="eastAsia"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期末考核，闭卷笔试，以填空题、选择题、名词解释、简答题、材料分析题、论述题等多种题型，考察学生对中外新闻传播史知识点的掌握情况。</w:t>
            </w:r>
          </w:p>
        </w:tc>
        <w:tc>
          <w:tcPr>
            <w:tcW w:w="1843" w:type="dxa"/>
            <w:shd w:val="clear" w:color="auto" w:fill="auto"/>
            <w:vAlign w:val="top"/>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vAlign w:val="top"/>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平时表现（线上签到、答题+线下出勤、课堂问答）</w:t>
            </w:r>
          </w:p>
        </w:tc>
        <w:tc>
          <w:tcPr>
            <w:tcW w:w="1843" w:type="dxa"/>
            <w:shd w:val="clear" w:color="auto" w:fill="auto"/>
            <w:vAlign w:val="top"/>
          </w:tcPr>
          <w:p>
            <w:pPr>
              <w:snapToGrid w:val="0"/>
              <w:spacing w:beforeLines="50" w:afterLines="50"/>
              <w:jc w:val="center"/>
              <w:rPr>
                <w:rFonts w:hint="eastAsia"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1</w:t>
            </w:r>
            <w:r>
              <w:rPr>
                <w:rFonts w:hint="eastAsia" w:ascii="宋体" w:hAnsi="宋体" w:eastAsia="宋体"/>
                <w:bCs/>
                <w:color w:val="000000"/>
                <w:szCs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vAlign w:val="top"/>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报刊史写作练习（学生组成创作团队，分工合作完成新闻史论文的撰写）</w:t>
            </w:r>
          </w:p>
        </w:tc>
        <w:tc>
          <w:tcPr>
            <w:tcW w:w="1843" w:type="dxa"/>
            <w:shd w:val="clear" w:color="auto" w:fill="auto"/>
            <w:vAlign w:val="top"/>
          </w:tcPr>
          <w:p>
            <w:pPr>
              <w:snapToGrid w:val="0"/>
              <w:spacing w:beforeLines="50" w:afterLines="50"/>
              <w:jc w:val="center"/>
              <w:rPr>
                <w:rFonts w:hint="default" w:ascii="宋体" w:hAnsi="宋体"/>
                <w:bCs/>
                <w:color w:val="000000"/>
                <w:szCs w:val="20"/>
                <w:highlight w:val="none"/>
                <w:lang w:val="en-US" w:eastAsia="zh-CN"/>
              </w:rPr>
            </w:pPr>
            <w:r>
              <w:rPr>
                <w:rFonts w:hint="eastAsia" w:ascii="宋体" w:hAnsi="宋体"/>
                <w:bCs/>
                <w:color w:val="000000"/>
                <w:szCs w:val="20"/>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X3</w:t>
            </w:r>
          </w:p>
        </w:tc>
        <w:tc>
          <w:tcPr>
            <w:tcW w:w="510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课堂展示（小组在线下课堂以ppt演讲汇报项目的完成情况）</w:t>
            </w:r>
          </w:p>
        </w:tc>
        <w:tc>
          <w:tcPr>
            <w:tcW w:w="1843" w:type="dxa"/>
            <w:shd w:val="clear" w:color="auto" w:fill="auto"/>
          </w:tcPr>
          <w:p>
            <w:pPr>
              <w:snapToGrid w:val="0"/>
              <w:spacing w:beforeLines="50" w:afterLines="50"/>
              <w:jc w:val="center"/>
              <w:rPr>
                <w:rFonts w:hint="default" w:ascii="宋体" w:hAnsi="宋体"/>
                <w:bCs/>
                <w:color w:val="000000"/>
                <w:szCs w:val="20"/>
                <w:highlight w:val="none"/>
                <w:lang w:val="en-US" w:eastAsia="zh-CN"/>
              </w:rPr>
            </w:pPr>
            <w:r>
              <w:rPr>
                <w:rFonts w:hint="eastAsia" w:ascii="宋体" w:hAnsi="宋体"/>
                <w:bCs/>
                <w:color w:val="000000"/>
                <w:szCs w:val="2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X4</w:t>
            </w:r>
          </w:p>
        </w:tc>
        <w:tc>
          <w:tcPr>
            <w:tcW w:w="5103" w:type="dxa"/>
            <w:shd w:val="clear" w:color="auto" w:fill="auto"/>
          </w:tcPr>
          <w:p>
            <w:pPr>
              <w:snapToGrid w:val="0"/>
              <w:spacing w:beforeLines="50" w:afterLines="50"/>
              <w:jc w:val="center"/>
              <w:rPr>
                <w:rFonts w:ascii="宋体" w:hAnsi="宋体"/>
                <w:bCs/>
                <w:color w:val="000000"/>
                <w:szCs w:val="20"/>
                <w:highlight w:val="none"/>
              </w:rPr>
            </w:pPr>
          </w:p>
        </w:tc>
        <w:tc>
          <w:tcPr>
            <w:tcW w:w="1843" w:type="dxa"/>
            <w:shd w:val="clear" w:color="auto" w:fill="auto"/>
          </w:tcPr>
          <w:p>
            <w:pPr>
              <w:snapToGrid w:val="0"/>
              <w:spacing w:beforeLines="50" w:afterLines="50"/>
              <w:jc w:val="center"/>
              <w:rPr>
                <w:rFonts w:ascii="宋体" w:hAnsi="宋体"/>
                <w:bCs/>
                <w:color w:val="000000"/>
                <w:szCs w:val="20"/>
                <w:highlight w:val="none"/>
              </w:rPr>
            </w:pPr>
          </w:p>
        </w:tc>
      </w:tr>
    </w:tbl>
    <w:p>
      <w:pPr>
        <w:snapToGrid w:val="0"/>
        <w:spacing w:line="288" w:lineRule="auto"/>
        <w:ind w:right="2520" w:firstLine="480" w:firstLineChars="200"/>
        <w:rPr>
          <w:rFonts w:hint="eastAsia" w:ascii="黑体" w:hAnsi="宋体" w:eastAsia="黑体"/>
          <w:sz w:val="24"/>
          <w:highlight w:val="none"/>
          <w:lang w:val="en-US" w:eastAsia="zh-CN"/>
        </w:rPr>
      </w:pPr>
    </w:p>
    <w:p>
      <w:pPr>
        <w:snapToGrid w:val="0"/>
        <w:spacing w:before="120" w:after="120" w:line="288" w:lineRule="auto"/>
        <w:ind w:firstLine="400" w:firstLineChars="200"/>
        <w:rPr>
          <w:rFonts w:ascii="宋体" w:hAnsi="宋体"/>
          <w:sz w:val="20"/>
          <w:szCs w:val="20"/>
          <w:highlight w:val="none"/>
        </w:rPr>
      </w:pPr>
    </w:p>
    <w:p>
      <w:pPr>
        <w:snapToGrid w:val="0"/>
        <w:spacing w:line="288" w:lineRule="auto"/>
        <w:ind w:firstLine="840" w:firstLineChars="300"/>
        <w:rPr>
          <w:rFonts w:hint="eastAsia"/>
          <w:sz w:val="28"/>
          <w:szCs w:val="28"/>
          <w:highlight w:val="none"/>
        </w:rPr>
      </w:pPr>
    </w:p>
    <w:p>
      <w:pPr>
        <w:snapToGrid w:val="0"/>
        <w:spacing w:line="288" w:lineRule="auto"/>
        <w:rPr>
          <w:rFonts w:hint="eastAsia" w:eastAsia="宋体"/>
          <w:sz w:val="28"/>
          <w:szCs w:val="28"/>
          <w:highlight w:val="none"/>
          <w:lang w:val="en-US" w:eastAsia="zh-CN"/>
        </w:rPr>
      </w:pPr>
      <w:r>
        <w:rPr>
          <w:rFonts w:hint="eastAsia"/>
          <w:sz w:val="28"/>
          <w:szCs w:val="28"/>
          <w:highlight w:val="none"/>
        </w:rPr>
        <w:t>撰写人：</w:t>
      </w:r>
      <w:r>
        <w:rPr>
          <w:rFonts w:hint="eastAsia"/>
          <w:sz w:val="28"/>
          <w:szCs w:val="28"/>
          <w:highlight w:val="none"/>
          <w:lang w:val="en-US" w:eastAsia="zh-CN"/>
        </w:rPr>
        <w:t xml:space="preserve">  金晶           </w:t>
      </w:r>
      <w:r>
        <w:rPr>
          <w:rFonts w:hint="eastAsia"/>
          <w:sz w:val="28"/>
          <w:szCs w:val="28"/>
          <w:highlight w:val="none"/>
        </w:rPr>
        <w:t>系主任审核签名：</w:t>
      </w:r>
      <w:r>
        <w:rPr>
          <w:rFonts w:hint="eastAsia"/>
          <w:sz w:val="28"/>
          <w:szCs w:val="28"/>
          <w:highlight w:val="none"/>
          <w:lang w:val="en-US" w:eastAsia="zh-CN"/>
        </w:rPr>
        <w:t>沈慧萍</w:t>
      </w:r>
    </w:p>
    <w:p>
      <w:pPr>
        <w:snapToGrid w:val="0"/>
        <w:spacing w:line="288" w:lineRule="auto"/>
        <w:ind w:firstLine="840" w:firstLineChars="300"/>
        <w:rPr>
          <w:highlight w:val="none"/>
          <w:lang w:val="en-US"/>
        </w:rPr>
      </w:pPr>
      <w:r>
        <w:rPr>
          <w:rFonts w:hint="eastAsia"/>
          <w:sz w:val="28"/>
          <w:szCs w:val="28"/>
          <w:highlight w:val="none"/>
        </w:rPr>
        <w:t>审核时间：</w:t>
      </w:r>
      <w:r>
        <w:rPr>
          <w:rFonts w:hint="eastAsia"/>
          <w:sz w:val="28"/>
          <w:szCs w:val="28"/>
          <w:highlight w:val="none"/>
          <w:lang w:val="en-US" w:eastAsia="zh-CN"/>
        </w:rPr>
        <w:t xml:space="preserve">   2020年3月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B9F77E"/>
    <w:multiLevelType w:val="multilevel"/>
    <w:tmpl w:val="B6B9F77E"/>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11074F"/>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C4C45"/>
    <w:rsid w:val="00B46F21"/>
    <w:rsid w:val="00B511A5"/>
    <w:rsid w:val="00B736A7"/>
    <w:rsid w:val="00B7651F"/>
    <w:rsid w:val="00C56E09"/>
    <w:rsid w:val="00CF096B"/>
    <w:rsid w:val="00E16D30"/>
    <w:rsid w:val="00E33169"/>
    <w:rsid w:val="00E70904"/>
    <w:rsid w:val="00EF44B1"/>
    <w:rsid w:val="00F35AA0"/>
    <w:rsid w:val="01483803"/>
    <w:rsid w:val="024B0C39"/>
    <w:rsid w:val="03505487"/>
    <w:rsid w:val="03815F5B"/>
    <w:rsid w:val="040A35F6"/>
    <w:rsid w:val="0499596F"/>
    <w:rsid w:val="059A0D07"/>
    <w:rsid w:val="063825D0"/>
    <w:rsid w:val="06822BC0"/>
    <w:rsid w:val="06D2141D"/>
    <w:rsid w:val="06EE634A"/>
    <w:rsid w:val="07F54CC4"/>
    <w:rsid w:val="08974BFD"/>
    <w:rsid w:val="08E971E5"/>
    <w:rsid w:val="09D10DFC"/>
    <w:rsid w:val="09DD51D9"/>
    <w:rsid w:val="0A390A36"/>
    <w:rsid w:val="0A8128A6"/>
    <w:rsid w:val="0AAC1F80"/>
    <w:rsid w:val="0AF50EF3"/>
    <w:rsid w:val="0AFE5281"/>
    <w:rsid w:val="0BF32A1B"/>
    <w:rsid w:val="0C756054"/>
    <w:rsid w:val="0E3E0CC6"/>
    <w:rsid w:val="0E4D667A"/>
    <w:rsid w:val="0F3E4A23"/>
    <w:rsid w:val="101B2738"/>
    <w:rsid w:val="103F331C"/>
    <w:rsid w:val="10BD2C22"/>
    <w:rsid w:val="11A8316B"/>
    <w:rsid w:val="12181E8B"/>
    <w:rsid w:val="12B27065"/>
    <w:rsid w:val="14154BA6"/>
    <w:rsid w:val="14EA0DF3"/>
    <w:rsid w:val="17244A7D"/>
    <w:rsid w:val="173F11C2"/>
    <w:rsid w:val="197F0609"/>
    <w:rsid w:val="199B4DC7"/>
    <w:rsid w:val="1A8D531F"/>
    <w:rsid w:val="1B626A45"/>
    <w:rsid w:val="1BC928AF"/>
    <w:rsid w:val="1C39461B"/>
    <w:rsid w:val="1CD42826"/>
    <w:rsid w:val="1DA56906"/>
    <w:rsid w:val="1DA94ACD"/>
    <w:rsid w:val="1DE464F1"/>
    <w:rsid w:val="1EC64E0D"/>
    <w:rsid w:val="1F4B7DB2"/>
    <w:rsid w:val="1FD62D8B"/>
    <w:rsid w:val="20DF250A"/>
    <w:rsid w:val="212E0B96"/>
    <w:rsid w:val="21493DB8"/>
    <w:rsid w:val="22056255"/>
    <w:rsid w:val="229449FC"/>
    <w:rsid w:val="22987C80"/>
    <w:rsid w:val="22F47B26"/>
    <w:rsid w:val="22F9465A"/>
    <w:rsid w:val="23F07CC0"/>
    <w:rsid w:val="24192CCC"/>
    <w:rsid w:val="24937281"/>
    <w:rsid w:val="24BD019D"/>
    <w:rsid w:val="25A8667B"/>
    <w:rsid w:val="26663423"/>
    <w:rsid w:val="26D96C25"/>
    <w:rsid w:val="275B5ED3"/>
    <w:rsid w:val="27743553"/>
    <w:rsid w:val="28FE64A7"/>
    <w:rsid w:val="29843404"/>
    <w:rsid w:val="29E5023C"/>
    <w:rsid w:val="2A0A2C6B"/>
    <w:rsid w:val="2A1F2219"/>
    <w:rsid w:val="2B2369E5"/>
    <w:rsid w:val="2B7251E1"/>
    <w:rsid w:val="2BE81E7E"/>
    <w:rsid w:val="2BEC2C5B"/>
    <w:rsid w:val="2D371B10"/>
    <w:rsid w:val="2DDE7366"/>
    <w:rsid w:val="2E34353A"/>
    <w:rsid w:val="2F2465C2"/>
    <w:rsid w:val="2F3857DA"/>
    <w:rsid w:val="2FC51030"/>
    <w:rsid w:val="2FCF7E00"/>
    <w:rsid w:val="30197B92"/>
    <w:rsid w:val="30BC778A"/>
    <w:rsid w:val="32B3496C"/>
    <w:rsid w:val="32C5706C"/>
    <w:rsid w:val="339E1DE7"/>
    <w:rsid w:val="33B31D3B"/>
    <w:rsid w:val="35115DC8"/>
    <w:rsid w:val="35513C99"/>
    <w:rsid w:val="35F940C6"/>
    <w:rsid w:val="3668636D"/>
    <w:rsid w:val="368862C1"/>
    <w:rsid w:val="370D06CF"/>
    <w:rsid w:val="378F652A"/>
    <w:rsid w:val="39115CAE"/>
    <w:rsid w:val="39A66CD4"/>
    <w:rsid w:val="3A681804"/>
    <w:rsid w:val="3B61020D"/>
    <w:rsid w:val="3B786A6D"/>
    <w:rsid w:val="3CD52CE1"/>
    <w:rsid w:val="3D545FC0"/>
    <w:rsid w:val="3D644E2E"/>
    <w:rsid w:val="3DC62410"/>
    <w:rsid w:val="3E9675D1"/>
    <w:rsid w:val="3EC2486F"/>
    <w:rsid w:val="3FC66177"/>
    <w:rsid w:val="40590FF3"/>
    <w:rsid w:val="409225F3"/>
    <w:rsid w:val="410F2E6A"/>
    <w:rsid w:val="4237512A"/>
    <w:rsid w:val="42D92A4E"/>
    <w:rsid w:val="43211201"/>
    <w:rsid w:val="43247147"/>
    <w:rsid w:val="43423E1A"/>
    <w:rsid w:val="43594F3A"/>
    <w:rsid w:val="43FD12A5"/>
    <w:rsid w:val="4430136C"/>
    <w:rsid w:val="44682056"/>
    <w:rsid w:val="455526A3"/>
    <w:rsid w:val="45A821CA"/>
    <w:rsid w:val="45C26B83"/>
    <w:rsid w:val="474F3C3A"/>
    <w:rsid w:val="47EB5E39"/>
    <w:rsid w:val="486809D7"/>
    <w:rsid w:val="487E39DA"/>
    <w:rsid w:val="48A03FB8"/>
    <w:rsid w:val="49120EA2"/>
    <w:rsid w:val="4971398B"/>
    <w:rsid w:val="49DB74EB"/>
    <w:rsid w:val="4AA81DDE"/>
    <w:rsid w:val="4AB0382B"/>
    <w:rsid w:val="4AF75FEE"/>
    <w:rsid w:val="4BB145FC"/>
    <w:rsid w:val="4C213989"/>
    <w:rsid w:val="4C265857"/>
    <w:rsid w:val="4C4662E2"/>
    <w:rsid w:val="4CC66486"/>
    <w:rsid w:val="4D08208E"/>
    <w:rsid w:val="4DD55E0E"/>
    <w:rsid w:val="4E3D7318"/>
    <w:rsid w:val="4E5B1788"/>
    <w:rsid w:val="4E614E8C"/>
    <w:rsid w:val="4EF8256A"/>
    <w:rsid w:val="4F3100F7"/>
    <w:rsid w:val="4F705A97"/>
    <w:rsid w:val="4F92645E"/>
    <w:rsid w:val="50383296"/>
    <w:rsid w:val="50FC1E5C"/>
    <w:rsid w:val="51356E6B"/>
    <w:rsid w:val="51947F4D"/>
    <w:rsid w:val="51B20A00"/>
    <w:rsid w:val="52291C03"/>
    <w:rsid w:val="52651861"/>
    <w:rsid w:val="55002E2B"/>
    <w:rsid w:val="563B1129"/>
    <w:rsid w:val="566B50C2"/>
    <w:rsid w:val="569868B5"/>
    <w:rsid w:val="56BB059B"/>
    <w:rsid w:val="57134180"/>
    <w:rsid w:val="572B4C67"/>
    <w:rsid w:val="57322B18"/>
    <w:rsid w:val="579A595F"/>
    <w:rsid w:val="57DB0597"/>
    <w:rsid w:val="58247FB1"/>
    <w:rsid w:val="586F057C"/>
    <w:rsid w:val="590D612E"/>
    <w:rsid w:val="59943063"/>
    <w:rsid w:val="5A4022D8"/>
    <w:rsid w:val="5AC742D4"/>
    <w:rsid w:val="5BD02E9B"/>
    <w:rsid w:val="5C390B77"/>
    <w:rsid w:val="5CD7166A"/>
    <w:rsid w:val="5E161070"/>
    <w:rsid w:val="5EF6481A"/>
    <w:rsid w:val="60543064"/>
    <w:rsid w:val="60926942"/>
    <w:rsid w:val="611F6817"/>
    <w:rsid w:val="61B769D4"/>
    <w:rsid w:val="61C8459F"/>
    <w:rsid w:val="61EF09B0"/>
    <w:rsid w:val="620C21F5"/>
    <w:rsid w:val="62C0166D"/>
    <w:rsid w:val="632D0F69"/>
    <w:rsid w:val="6331450D"/>
    <w:rsid w:val="646A55C6"/>
    <w:rsid w:val="64EB6F1A"/>
    <w:rsid w:val="65D474AE"/>
    <w:rsid w:val="66CA1754"/>
    <w:rsid w:val="66F411D4"/>
    <w:rsid w:val="670C7188"/>
    <w:rsid w:val="67A24EA5"/>
    <w:rsid w:val="690A7CA0"/>
    <w:rsid w:val="692A7C23"/>
    <w:rsid w:val="69840B73"/>
    <w:rsid w:val="6BBA4360"/>
    <w:rsid w:val="6BE4330B"/>
    <w:rsid w:val="6C123DF7"/>
    <w:rsid w:val="6D3B2E45"/>
    <w:rsid w:val="6F1E65D4"/>
    <w:rsid w:val="6F266C86"/>
    <w:rsid w:val="6F4E18AE"/>
    <w:rsid w:val="6F5042C2"/>
    <w:rsid w:val="700C6A66"/>
    <w:rsid w:val="702659CB"/>
    <w:rsid w:val="710366E7"/>
    <w:rsid w:val="7145633B"/>
    <w:rsid w:val="71A32D60"/>
    <w:rsid w:val="71D81DE7"/>
    <w:rsid w:val="725314DA"/>
    <w:rsid w:val="727D124C"/>
    <w:rsid w:val="72F45585"/>
    <w:rsid w:val="74281A3A"/>
    <w:rsid w:val="74316312"/>
    <w:rsid w:val="74B62F5E"/>
    <w:rsid w:val="763048EA"/>
    <w:rsid w:val="769673E5"/>
    <w:rsid w:val="769F61D4"/>
    <w:rsid w:val="76B757F0"/>
    <w:rsid w:val="780D5DCB"/>
    <w:rsid w:val="780F13C8"/>
    <w:rsid w:val="78D5705E"/>
    <w:rsid w:val="7A8B2B38"/>
    <w:rsid w:val="7A9A375E"/>
    <w:rsid w:val="7AEB283B"/>
    <w:rsid w:val="7B6C0014"/>
    <w:rsid w:val="7B802A86"/>
    <w:rsid w:val="7B8A2627"/>
    <w:rsid w:val="7BA36E5F"/>
    <w:rsid w:val="7BB8157F"/>
    <w:rsid w:val="7BF545DA"/>
    <w:rsid w:val="7C385448"/>
    <w:rsid w:val="7CD1689B"/>
    <w:rsid w:val="7CDC52A5"/>
    <w:rsid w:val="7D811A5C"/>
    <w:rsid w:val="7D8C2C45"/>
    <w:rsid w:val="7DBE31A3"/>
    <w:rsid w:val="7E3F313E"/>
    <w:rsid w:val="7F26453C"/>
    <w:rsid w:val="7FCF37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10</TotalTime>
  <ScaleCrop>false</ScaleCrop>
  <LinksUpToDate>false</LinksUpToDate>
  <CharactersWithSpaces>1834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陈扬</cp:lastModifiedBy>
  <dcterms:modified xsi:type="dcterms:W3CDTF">2020-03-08T09:46:33Z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KSORubyTemplateID" linkTarget="0">
    <vt:lpwstr>6</vt:lpwstr>
  </property>
</Properties>
</file>