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highlight w:val="none"/>
        </w:rPr>
      </w:pPr>
      <w:r>
        <w:rPr>
          <w:rFonts w:asciiTheme="majorBidi" w:hAnsiTheme="majorBidi" w:eastAsiaTheme="minorEastAsia" w:cstheme="majorBidi"/>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Theme="majorBidi" w:hAnsiTheme="majorBidi" w:eastAsiaTheme="minorEastAsia" w:cstheme="majorBidi"/>
          <w:lang w:eastAsia="zh-CN"/>
        </w:rPr>
        <w:instrText xml:space="preserve">ADDIN CNKISM.UserStyle</w:instrText>
      </w:r>
      <w:r>
        <w:rPr>
          <w:rFonts w:asciiTheme="majorBidi" w:hAnsiTheme="majorBidi" w:eastAsiaTheme="minorEastAsia" w:cstheme="majorBidi"/>
        </w:rPr>
        <w:fldChar w:fldCharType="separate"/>
      </w:r>
      <w:r>
        <w:rPr>
          <w:rFonts w:asciiTheme="majorBidi" w:hAnsiTheme="majorBidi" w:eastAsiaTheme="minorEastAsia" w:cstheme="majorBidi"/>
        </w:rPr>
        <w:fldChar w:fldCharType="end"/>
      </w:r>
      <w:r>
        <w:rPr>
          <w:rFonts w:asciiTheme="majorBidi" w:hAnsiTheme="majorBidi" w:eastAsiaTheme="minorEastAsia" w:cstheme="majorBidi"/>
        </w:rPr>
        <w:pict>
          <v:shape id="文本框 1" o:spid="_x0000_s1028" o:spt="202" type="#_x0000_t202" style="position:absolute;left:0pt;margin-left:41.3pt;margin-top:27.0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highlight w:val="none"/>
        </w:rPr>
        <w:t>【</w:t>
      </w:r>
      <w:r>
        <w:rPr>
          <w:rFonts w:hint="eastAsia"/>
          <w:b/>
          <w:sz w:val="28"/>
          <w:szCs w:val="30"/>
          <w:highlight w:val="none"/>
          <w:lang w:eastAsia="zh-CN"/>
        </w:rPr>
        <w:t>数据新闻</w:t>
      </w:r>
      <w:r>
        <w:rPr>
          <w:rFonts w:hint="eastAsia"/>
          <w:b/>
          <w:sz w:val="28"/>
          <w:szCs w:val="30"/>
          <w:highlight w:val="none"/>
        </w:rPr>
        <w:t>】</w:t>
      </w:r>
    </w:p>
    <w:p>
      <w:pPr>
        <w:shd w:val="clear" w:color="auto" w:fill="F5F5F5"/>
        <w:jc w:val="center"/>
        <w:textAlignment w:val="top"/>
        <w:rPr>
          <w:rFonts w:ascii="Arial" w:hAnsi="Arial" w:cs="Arial"/>
          <w:color w:val="888888"/>
          <w:kern w:val="0"/>
          <w:sz w:val="20"/>
          <w:szCs w:val="20"/>
          <w:highlight w:val="none"/>
        </w:rPr>
      </w:pPr>
      <w:r>
        <w:rPr>
          <w:rFonts w:hint="eastAsia"/>
          <w:b/>
          <w:sz w:val="28"/>
          <w:szCs w:val="30"/>
          <w:highlight w:val="none"/>
        </w:rPr>
        <w:t>【</w:t>
      </w:r>
      <w:r>
        <w:rPr>
          <w:rFonts w:hint="eastAsia"/>
          <w:b/>
          <w:sz w:val="28"/>
          <w:szCs w:val="30"/>
          <w:highlight w:val="none"/>
          <w:lang w:val="en-US" w:eastAsia="zh-CN"/>
        </w:rPr>
        <w:t>Data Journalism</w:t>
      </w:r>
      <w:r>
        <w:rPr>
          <w:rFonts w:hint="eastAsia"/>
          <w:b/>
          <w:sz w:val="28"/>
          <w:szCs w:val="30"/>
          <w:highlight w:val="none"/>
        </w:rPr>
        <w:t>】</w:t>
      </w:r>
      <w:bookmarkStart w:id="0" w:name="a2"/>
      <w:bookmarkEnd w:id="0"/>
    </w:p>
    <w:p>
      <w:pPr>
        <w:spacing w:beforeLines="50" w:afterLines="50" w:line="288" w:lineRule="auto"/>
        <w:ind w:firstLine="360" w:firstLineChars="150"/>
        <w:rPr>
          <w:b/>
          <w:color w:val="008080"/>
          <w:sz w:val="30"/>
          <w:szCs w:val="30"/>
          <w:highlight w:val="none"/>
        </w:rPr>
      </w:pPr>
      <w:r>
        <w:rPr>
          <w:rFonts w:ascii="黑体" w:hAnsi="宋体" w:eastAsia="黑体"/>
          <w:sz w:val="24"/>
          <w:highlight w:val="none"/>
        </w:rPr>
        <w:t>一</w:t>
      </w:r>
      <w:r>
        <w:rPr>
          <w:rFonts w:hint="eastAsia" w:ascii="黑体" w:hAnsi="宋体" w:eastAsia="黑体"/>
          <w:sz w:val="24"/>
          <w:highlight w:val="none"/>
        </w:rPr>
        <w:t>、</w:t>
      </w:r>
      <w:r>
        <w:rPr>
          <w:rFonts w:ascii="黑体" w:hAnsi="宋体" w:eastAsia="黑体"/>
          <w:sz w:val="24"/>
          <w:highlight w:val="none"/>
        </w:rPr>
        <w:t>基本信息（必填项）</w:t>
      </w:r>
    </w:p>
    <w:p>
      <w:pPr>
        <w:snapToGrid w:val="0"/>
        <w:spacing w:line="288" w:lineRule="auto"/>
        <w:ind w:firstLine="413" w:firstLineChars="196"/>
        <w:rPr>
          <w:color w:val="000000"/>
          <w:sz w:val="21"/>
          <w:szCs w:val="21"/>
          <w:highlight w:val="none"/>
        </w:rPr>
      </w:pPr>
      <w:r>
        <w:rPr>
          <w:b/>
          <w:bCs/>
          <w:color w:val="000000"/>
          <w:sz w:val="21"/>
          <w:szCs w:val="21"/>
          <w:highlight w:val="none"/>
        </w:rPr>
        <w:t>课程代码：</w:t>
      </w:r>
      <w:r>
        <w:rPr>
          <w:color w:val="000000"/>
          <w:sz w:val="21"/>
          <w:szCs w:val="21"/>
          <w:highlight w:val="none"/>
        </w:rPr>
        <w:t>【</w:t>
      </w:r>
      <w:r>
        <w:rPr>
          <w:rFonts w:hint="eastAsia"/>
          <w:color w:val="000000"/>
          <w:sz w:val="21"/>
          <w:szCs w:val="21"/>
          <w:highlight w:val="none"/>
        </w:rPr>
        <w:t>203041</w:t>
      </w:r>
      <w:r>
        <w:rPr>
          <w:rFonts w:hint="eastAsia"/>
          <w:color w:val="000000"/>
          <w:sz w:val="21"/>
          <w:szCs w:val="21"/>
          <w:highlight w:val="none"/>
          <w:lang w:val="en-US" w:eastAsia="zh-CN"/>
        </w:rPr>
        <w:t>0</w:t>
      </w:r>
      <w:r>
        <w:rPr>
          <w:color w:val="000000"/>
          <w:sz w:val="21"/>
          <w:szCs w:val="21"/>
          <w:highlight w:val="none"/>
        </w:rPr>
        <w:t>】</w:t>
      </w:r>
    </w:p>
    <w:p>
      <w:pPr>
        <w:snapToGrid w:val="0"/>
        <w:spacing w:line="288" w:lineRule="auto"/>
        <w:ind w:firstLine="413" w:firstLineChars="196"/>
        <w:rPr>
          <w:color w:val="000000"/>
          <w:sz w:val="21"/>
          <w:szCs w:val="21"/>
          <w:highlight w:val="none"/>
        </w:rPr>
      </w:pPr>
      <w:r>
        <w:rPr>
          <w:b/>
          <w:bCs/>
          <w:color w:val="000000"/>
          <w:sz w:val="21"/>
          <w:szCs w:val="21"/>
          <w:highlight w:val="none"/>
        </w:rPr>
        <w:t>课程学分：</w:t>
      </w:r>
      <w:r>
        <w:rPr>
          <w:color w:val="000000"/>
          <w:sz w:val="21"/>
          <w:szCs w:val="21"/>
          <w:highlight w:val="none"/>
        </w:rPr>
        <w:t>【</w:t>
      </w:r>
      <w:r>
        <w:rPr>
          <w:rFonts w:hint="eastAsia"/>
          <w:color w:val="000000"/>
          <w:sz w:val="21"/>
          <w:szCs w:val="21"/>
          <w:highlight w:val="none"/>
          <w:lang w:val="en-US" w:eastAsia="zh-CN"/>
        </w:rPr>
        <w:t>2</w:t>
      </w:r>
      <w:r>
        <w:rPr>
          <w:color w:val="000000"/>
          <w:sz w:val="21"/>
          <w:szCs w:val="21"/>
          <w:highlight w:val="none"/>
        </w:rPr>
        <w:t>】</w:t>
      </w:r>
    </w:p>
    <w:p>
      <w:pPr>
        <w:snapToGrid w:val="0"/>
        <w:spacing w:line="288" w:lineRule="auto"/>
        <w:ind w:firstLine="413" w:firstLineChars="196"/>
        <w:rPr>
          <w:color w:val="000000"/>
          <w:sz w:val="21"/>
          <w:szCs w:val="21"/>
          <w:highlight w:val="none"/>
        </w:rPr>
      </w:pPr>
      <w:r>
        <w:rPr>
          <w:b/>
          <w:bCs/>
          <w:color w:val="000000"/>
          <w:sz w:val="21"/>
          <w:szCs w:val="21"/>
          <w:highlight w:val="none"/>
        </w:rPr>
        <w:t>面向专业：</w:t>
      </w:r>
      <w:r>
        <w:rPr>
          <w:color w:val="000000"/>
          <w:sz w:val="21"/>
          <w:szCs w:val="21"/>
          <w:highlight w:val="none"/>
        </w:rPr>
        <w:t>【</w:t>
      </w:r>
      <w:r>
        <w:rPr>
          <w:rFonts w:hint="eastAsia"/>
          <w:color w:val="000000"/>
          <w:sz w:val="21"/>
          <w:szCs w:val="21"/>
          <w:highlight w:val="none"/>
        </w:rPr>
        <w:t>新闻学</w:t>
      </w:r>
      <w:r>
        <w:rPr>
          <w:color w:val="000000"/>
          <w:sz w:val="21"/>
          <w:szCs w:val="21"/>
          <w:highlight w:val="none"/>
        </w:rPr>
        <w:t>】</w:t>
      </w:r>
    </w:p>
    <w:p>
      <w:pPr>
        <w:snapToGrid w:val="0"/>
        <w:spacing w:line="288" w:lineRule="auto"/>
        <w:ind w:firstLine="413" w:firstLineChars="196"/>
        <w:rPr>
          <w:color w:val="000000"/>
          <w:sz w:val="21"/>
          <w:szCs w:val="21"/>
          <w:highlight w:val="none"/>
        </w:rPr>
      </w:pPr>
      <w:r>
        <w:rPr>
          <w:b/>
          <w:bCs/>
          <w:color w:val="000000"/>
          <w:sz w:val="21"/>
          <w:szCs w:val="21"/>
          <w:highlight w:val="none"/>
        </w:rPr>
        <w:t>课程性质：</w:t>
      </w:r>
      <w:r>
        <w:rPr>
          <w:color w:val="000000"/>
          <w:sz w:val="21"/>
          <w:szCs w:val="21"/>
          <w:highlight w:val="none"/>
        </w:rPr>
        <w:t>【</w:t>
      </w:r>
      <w:r>
        <w:rPr>
          <w:rFonts w:hint="eastAsia"/>
          <w:color w:val="000000"/>
          <w:sz w:val="21"/>
          <w:szCs w:val="21"/>
          <w:highlight w:val="none"/>
        </w:rPr>
        <w:t>系级</w:t>
      </w:r>
      <w:r>
        <w:rPr>
          <w:rFonts w:hint="eastAsia"/>
          <w:color w:val="000000"/>
          <w:sz w:val="21"/>
          <w:szCs w:val="21"/>
          <w:highlight w:val="none"/>
          <w:lang w:eastAsia="zh-CN"/>
        </w:rPr>
        <w:t>专业选修课</w:t>
      </w:r>
      <w:r>
        <w:rPr>
          <w:color w:val="000000"/>
          <w:sz w:val="21"/>
          <w:szCs w:val="21"/>
          <w:highlight w:val="none"/>
        </w:rPr>
        <w:t>】</w:t>
      </w:r>
    </w:p>
    <w:p>
      <w:pPr>
        <w:snapToGrid w:val="0"/>
        <w:spacing w:line="288" w:lineRule="auto"/>
        <w:ind w:firstLine="413" w:firstLineChars="196"/>
        <w:rPr>
          <w:b/>
          <w:bCs/>
          <w:color w:val="000000"/>
          <w:sz w:val="21"/>
          <w:szCs w:val="21"/>
          <w:highlight w:val="none"/>
        </w:rPr>
      </w:pPr>
      <w:r>
        <w:rPr>
          <w:b/>
          <w:bCs/>
          <w:color w:val="000000"/>
          <w:sz w:val="21"/>
          <w:szCs w:val="21"/>
          <w:highlight w:val="none"/>
        </w:rPr>
        <w:t>开课院系：</w:t>
      </w:r>
      <w:r>
        <w:rPr>
          <w:color w:val="000000"/>
          <w:sz w:val="21"/>
          <w:szCs w:val="21"/>
          <w:highlight w:val="none"/>
        </w:rPr>
        <w:t>【</w:t>
      </w:r>
      <w:r>
        <w:rPr>
          <w:rFonts w:hint="eastAsia"/>
          <w:b w:val="0"/>
          <w:bCs w:val="0"/>
          <w:color w:val="000000"/>
          <w:sz w:val="21"/>
          <w:szCs w:val="21"/>
          <w:highlight w:val="none"/>
          <w:lang w:eastAsia="zh-CN"/>
        </w:rPr>
        <w:t>新闻传播学院新闻系</w:t>
      </w:r>
      <w:r>
        <w:rPr>
          <w:color w:val="000000"/>
          <w:sz w:val="21"/>
          <w:szCs w:val="21"/>
          <w:highlight w:val="none"/>
        </w:rPr>
        <w:t>】</w:t>
      </w:r>
    </w:p>
    <w:p>
      <w:pPr>
        <w:snapToGrid w:val="0"/>
        <w:spacing w:line="288" w:lineRule="auto"/>
        <w:ind w:firstLine="413" w:firstLineChars="196"/>
        <w:rPr>
          <w:rFonts w:hint="eastAsia" w:ascii="宋体" w:hAnsi="宋体" w:eastAsia="宋体"/>
          <w:color w:val="000000"/>
          <w:sz w:val="21"/>
          <w:szCs w:val="21"/>
          <w:highlight w:val="none"/>
          <w:lang w:val="en-US" w:eastAsia="zh-CN"/>
        </w:rPr>
      </w:pPr>
      <w:r>
        <w:rPr>
          <w:b/>
          <w:bCs/>
          <w:color w:val="000000"/>
          <w:sz w:val="21"/>
          <w:szCs w:val="21"/>
          <w:highlight w:val="none"/>
        </w:rPr>
        <w:t>使用教材：</w:t>
      </w:r>
      <w:r>
        <w:rPr>
          <w:rFonts w:hint="eastAsia"/>
          <w:b w:val="0"/>
          <w:bCs w:val="0"/>
          <w:color w:val="000000"/>
          <w:sz w:val="21"/>
          <w:szCs w:val="21"/>
          <w:highlight w:val="none"/>
          <w:lang w:eastAsia="zh-CN"/>
        </w:rPr>
        <w:t>《数据新闻：操作与实践》毛良斌主编</w:t>
      </w:r>
      <w:r>
        <w:rPr>
          <w:rFonts w:hint="eastAsia"/>
          <w:b w:val="0"/>
          <w:bCs w:val="0"/>
          <w:color w:val="000000"/>
          <w:sz w:val="21"/>
          <w:szCs w:val="21"/>
          <w:highlight w:val="none"/>
          <w:lang w:val="en-US" w:eastAsia="zh-CN"/>
        </w:rPr>
        <w:t xml:space="preserve"> 浙江大学出版社 2019年8月第1版</w:t>
      </w:r>
    </w:p>
    <w:p>
      <w:pPr>
        <w:snapToGrid w:val="0"/>
        <w:spacing w:line="288" w:lineRule="auto"/>
        <w:ind w:firstLine="401"/>
        <w:rPr>
          <w:rFonts w:hint="eastAsia" w:ascii="宋体" w:hAnsi="宋体" w:eastAsia="宋体"/>
          <w:color w:val="000000"/>
          <w:sz w:val="21"/>
          <w:szCs w:val="21"/>
          <w:highlight w:val="none"/>
          <w:lang w:val="en-US" w:eastAsia="zh-CN"/>
        </w:rPr>
      </w:pPr>
      <w:r>
        <w:rPr>
          <w:rFonts w:ascii="宋体" w:hAnsi="宋体" w:eastAsia="宋体"/>
          <w:b/>
          <w:bCs/>
          <w:color w:val="000000"/>
          <w:sz w:val="21"/>
          <w:szCs w:val="21"/>
          <w:highlight w:val="none"/>
        </w:rPr>
        <w:t>参考</w:t>
      </w:r>
      <w:r>
        <w:rPr>
          <w:rFonts w:hint="eastAsia" w:ascii="宋体" w:hAnsi="宋体" w:eastAsia="宋体"/>
          <w:b/>
          <w:bCs/>
          <w:color w:val="000000"/>
          <w:sz w:val="21"/>
          <w:szCs w:val="21"/>
          <w:highlight w:val="none"/>
        </w:rPr>
        <w:t>书目</w:t>
      </w:r>
      <w:r>
        <w:rPr>
          <w:rFonts w:ascii="宋体" w:hAnsi="宋体" w:eastAsia="宋体"/>
          <w:color w:val="000000"/>
          <w:sz w:val="21"/>
          <w:szCs w:val="21"/>
          <w:highlight w:val="none"/>
        </w:rPr>
        <w:t>【</w:t>
      </w:r>
      <w:r>
        <w:rPr>
          <w:rFonts w:hint="eastAsia" w:ascii="宋体" w:hAnsi="宋体"/>
          <w:color w:val="000000"/>
          <w:sz w:val="21"/>
          <w:szCs w:val="21"/>
          <w:highlight w:val="none"/>
          <w:lang w:val="en-US" w:eastAsia="zh-CN"/>
        </w:rPr>
        <w:t xml:space="preserve">《数据新闻概论（第二版）》方洁著 </w:t>
      </w:r>
      <w:r>
        <w:rPr>
          <w:rFonts w:hint="eastAsia" w:ascii="宋体" w:hAnsi="宋体"/>
          <w:color w:val="000000"/>
          <w:sz w:val="21"/>
          <w:szCs w:val="21"/>
          <w:highlight w:val="none"/>
          <w:lang w:val="en-US" w:eastAsia="zh-CN"/>
        </w:rPr>
        <w:fldChar w:fldCharType="begin"/>
      </w:r>
      <w:r>
        <w:rPr>
          <w:rFonts w:hint="eastAsia" w:ascii="宋体" w:hAnsi="宋体"/>
          <w:color w:val="000000"/>
          <w:sz w:val="21"/>
          <w:szCs w:val="21"/>
          <w:highlight w:val="none"/>
          <w:lang w:val="en-US" w:eastAsia="zh-CN"/>
        </w:rPr>
        <w:instrText xml:space="preserve"> HYPERLINK "http://search.dangdang.com/?key3=%D6%D0%B9%FA%C8%CB%C3%F1%B4%F3%D1%A7%B3%F6%B0%E6%C9%E7&amp;medium=01&amp;category_path=01.00.00.00.00.00" \t "http://product.dangdang.com/_blank" </w:instrText>
      </w:r>
      <w:r>
        <w:rPr>
          <w:rFonts w:hint="eastAsia" w:ascii="宋体" w:hAnsi="宋体"/>
          <w:color w:val="000000"/>
          <w:sz w:val="21"/>
          <w:szCs w:val="21"/>
          <w:highlight w:val="none"/>
          <w:lang w:val="en-US" w:eastAsia="zh-CN"/>
        </w:rPr>
        <w:fldChar w:fldCharType="separate"/>
      </w:r>
      <w:r>
        <w:rPr>
          <w:rFonts w:hint="eastAsia" w:ascii="宋体" w:hAnsi="宋体"/>
          <w:color w:val="000000"/>
          <w:sz w:val="21"/>
          <w:szCs w:val="21"/>
          <w:highlight w:val="none"/>
          <w:lang w:val="en-US" w:eastAsia="zh-CN"/>
        </w:rPr>
        <w:t>中国人民大学出版社</w:t>
      </w:r>
      <w:r>
        <w:rPr>
          <w:rFonts w:hint="eastAsia" w:ascii="宋体" w:hAnsi="宋体"/>
          <w:color w:val="000000"/>
          <w:sz w:val="21"/>
          <w:szCs w:val="21"/>
          <w:highlight w:val="none"/>
          <w:lang w:val="en-US" w:eastAsia="zh-CN"/>
        </w:rPr>
        <w:fldChar w:fldCharType="end"/>
      </w:r>
      <w:r>
        <w:rPr>
          <w:rFonts w:hint="eastAsia" w:ascii="宋体" w:hAnsi="宋体"/>
          <w:color w:val="000000"/>
          <w:sz w:val="21"/>
          <w:szCs w:val="21"/>
          <w:highlight w:val="none"/>
          <w:lang w:val="en-US" w:eastAsia="zh-CN"/>
        </w:rPr>
        <w:t xml:space="preserve"> 2019年2月第1版</w:t>
      </w:r>
    </w:p>
    <w:p>
      <w:pPr>
        <w:snapToGrid w:val="0"/>
        <w:spacing w:line="288" w:lineRule="auto"/>
        <w:ind w:firstLine="1470" w:firstLineChars="700"/>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《数据新闻实战》刘英华著 电子工业出版社 2016年9月第1版</w:t>
      </w:r>
    </w:p>
    <w:p>
      <w:pPr>
        <w:snapToGrid w:val="0"/>
        <w:spacing w:line="288" w:lineRule="auto"/>
        <w:ind w:firstLine="1470" w:firstLineChars="700"/>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eastAsia="zh-CN"/>
        </w:rPr>
        <w:t>《数据新闻入门教程》</w:t>
      </w:r>
      <w:r>
        <w:rPr>
          <w:rFonts w:hint="eastAsia" w:ascii="宋体" w:hAnsi="宋体" w:eastAsia="宋体"/>
          <w:color w:val="000000"/>
          <w:sz w:val="21"/>
          <w:szCs w:val="21"/>
          <w:highlight w:val="none"/>
          <w:lang w:val="en-US" w:eastAsia="zh-CN"/>
        </w:rPr>
        <w:t xml:space="preserve">陈积银、曹树林主编 西安交通大学出版社 2016年8月第1版    </w:t>
      </w:r>
    </w:p>
    <w:p>
      <w:pPr>
        <w:snapToGrid w:val="0"/>
        <w:spacing w:line="288" w:lineRule="auto"/>
        <w:rPr>
          <w:rFonts w:ascii="宋体" w:hAnsi="宋体" w:eastAsia="宋体"/>
          <w:color w:val="000000"/>
          <w:sz w:val="21"/>
          <w:szCs w:val="21"/>
          <w:highlight w:val="none"/>
        </w:rPr>
      </w:pPr>
      <w:r>
        <w:rPr>
          <w:rFonts w:hint="eastAsia" w:ascii="宋体" w:hAnsi="宋体" w:eastAsia="宋体"/>
          <w:color w:val="000000"/>
          <w:sz w:val="21"/>
          <w:szCs w:val="21"/>
          <w:highlight w:val="none"/>
          <w:lang w:val="en-US" w:eastAsia="zh-CN"/>
        </w:rPr>
        <w:t xml:space="preserve"> </w:t>
      </w:r>
      <w:r>
        <w:rPr>
          <w:rFonts w:hint="eastAsia" w:ascii="宋体" w:hAnsi="宋体"/>
          <w:color w:val="000000"/>
          <w:sz w:val="21"/>
          <w:szCs w:val="21"/>
          <w:highlight w:val="none"/>
          <w:lang w:val="en-US" w:eastAsia="zh-CN"/>
        </w:rPr>
        <w:t xml:space="preserve">             </w:t>
      </w:r>
      <w:r>
        <w:rPr>
          <w:rFonts w:hint="eastAsia" w:ascii="宋体" w:hAnsi="宋体" w:eastAsia="宋体"/>
          <w:color w:val="000000"/>
          <w:sz w:val="21"/>
          <w:szCs w:val="21"/>
          <w:highlight w:val="none"/>
          <w:lang w:val="en-US" w:eastAsia="zh-CN"/>
        </w:rPr>
        <w:t>《信息图表编辑》许向东著 中国人民大学出版社 2015年7月第1版</w:t>
      </w:r>
      <w:r>
        <w:rPr>
          <w:rFonts w:ascii="宋体" w:hAnsi="宋体" w:eastAsia="宋体"/>
          <w:color w:val="000000"/>
          <w:sz w:val="21"/>
          <w:szCs w:val="21"/>
          <w:highlight w:val="none"/>
        </w:rPr>
        <w:t>】</w:t>
      </w:r>
    </w:p>
    <w:p>
      <w:pPr>
        <w:snapToGrid w:val="0"/>
        <w:spacing w:line="288" w:lineRule="auto"/>
        <w:ind w:firstLine="413" w:firstLineChars="196"/>
        <w:rPr>
          <w:rFonts w:hint="eastAsia"/>
          <w:b/>
          <w:bCs/>
          <w:color w:val="000000"/>
          <w:sz w:val="21"/>
          <w:szCs w:val="21"/>
          <w:highlight w:val="none"/>
        </w:rPr>
      </w:pPr>
      <w:r>
        <w:rPr>
          <w:rFonts w:hint="eastAsia"/>
          <w:b/>
          <w:bCs/>
          <w:color w:val="000000"/>
          <w:sz w:val="21"/>
          <w:szCs w:val="21"/>
          <w:highlight w:val="none"/>
        </w:rPr>
        <w:t>课程网站网址：</w:t>
      </w:r>
    </w:p>
    <w:p>
      <w:pPr>
        <w:snapToGrid w:val="0"/>
        <w:spacing w:line="288" w:lineRule="auto"/>
        <w:ind w:firstLine="420" w:firstLineChars="200"/>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fldChar w:fldCharType="begin"/>
      </w:r>
      <w:r>
        <w:rPr>
          <w:rFonts w:hint="eastAsia" w:ascii="宋体" w:hAnsi="宋体" w:eastAsia="宋体"/>
          <w:color w:val="000000"/>
          <w:sz w:val="21"/>
          <w:szCs w:val="21"/>
          <w:highlight w:val="none"/>
          <w:lang w:val="en-US" w:eastAsia="zh-CN"/>
        </w:rPr>
        <w:instrText xml:space="preserve"> HYPERLINK "https://elearning.gench.edu.cn:8443/webapps/blackboard/content/listContentEditable.jsp?content_id=_472317_1&amp;course_id=_47162_1&amp;mode=reset" </w:instrText>
      </w:r>
      <w:r>
        <w:rPr>
          <w:rFonts w:hint="eastAsia" w:ascii="宋体" w:hAnsi="宋体" w:eastAsia="宋体"/>
          <w:color w:val="000000"/>
          <w:sz w:val="21"/>
          <w:szCs w:val="21"/>
          <w:highlight w:val="none"/>
          <w:lang w:val="en-US" w:eastAsia="zh-CN"/>
        </w:rPr>
        <w:fldChar w:fldCharType="separate"/>
      </w:r>
      <w:r>
        <w:rPr>
          <w:rFonts w:hint="eastAsia" w:ascii="宋体" w:hAnsi="宋体" w:eastAsia="宋体"/>
          <w:color w:val="000000"/>
          <w:sz w:val="21"/>
          <w:szCs w:val="21"/>
          <w:highlight w:val="none"/>
          <w:lang w:val="en-US" w:eastAsia="zh-CN"/>
        </w:rPr>
        <w:t>https://elearning.gench.edu.cn:8443/webapps/blackboard/content/listContentEditable.jsp?content_id=_472317_1&amp;course_id=_47162_1&amp;mode=reset</w:t>
      </w:r>
      <w:r>
        <w:rPr>
          <w:rFonts w:hint="eastAsia" w:ascii="宋体" w:hAnsi="宋体" w:eastAsia="宋体"/>
          <w:color w:val="000000"/>
          <w:sz w:val="21"/>
          <w:szCs w:val="21"/>
          <w:highlight w:val="none"/>
          <w:lang w:val="en-US" w:eastAsia="zh-CN"/>
        </w:rPr>
        <w:fldChar w:fldCharType="end"/>
      </w:r>
    </w:p>
    <w:p>
      <w:pPr>
        <w:adjustRightInd w:val="0"/>
        <w:snapToGrid w:val="0"/>
        <w:spacing w:line="288" w:lineRule="auto"/>
        <w:ind w:firstLine="413" w:firstLineChars="196"/>
        <w:rPr>
          <w:color w:val="000000"/>
          <w:sz w:val="21"/>
          <w:szCs w:val="21"/>
          <w:highlight w:val="none"/>
        </w:rPr>
      </w:pPr>
      <w:r>
        <w:rPr>
          <w:b/>
          <w:bCs/>
          <w:color w:val="000000"/>
          <w:sz w:val="21"/>
          <w:szCs w:val="21"/>
          <w:highlight w:val="none"/>
        </w:rPr>
        <w:t>先修课程：</w:t>
      </w:r>
      <w:r>
        <w:rPr>
          <w:color w:val="000000"/>
          <w:sz w:val="21"/>
          <w:szCs w:val="21"/>
          <w:highlight w:val="none"/>
        </w:rPr>
        <w:t>【</w:t>
      </w:r>
      <w:r>
        <w:rPr>
          <w:rFonts w:hint="eastAsia"/>
          <w:color w:val="000000"/>
          <w:sz w:val="21"/>
          <w:szCs w:val="21"/>
          <w:highlight w:val="none"/>
          <w:lang w:eastAsia="zh-CN"/>
        </w:rPr>
        <w:t>新闻学概论2030198</w:t>
      </w:r>
      <w:r>
        <w:rPr>
          <w:rFonts w:hint="eastAsia"/>
          <w:color w:val="000000"/>
          <w:sz w:val="21"/>
          <w:szCs w:val="21"/>
          <w:highlight w:val="none"/>
          <w:lang w:val="en-US" w:eastAsia="zh-CN"/>
        </w:rPr>
        <w:t xml:space="preserve"> 2</w:t>
      </w:r>
      <w:r>
        <w:rPr>
          <w:rFonts w:hint="eastAsia"/>
          <w:color w:val="000000"/>
          <w:sz w:val="21"/>
          <w:szCs w:val="21"/>
          <w:highlight w:val="none"/>
          <w:lang w:eastAsia="zh-CN"/>
        </w:rPr>
        <w:t>、</w:t>
      </w:r>
      <w:r>
        <w:rPr>
          <w:rFonts w:hint="eastAsia"/>
          <w:color w:val="000000"/>
          <w:sz w:val="21"/>
          <w:szCs w:val="21"/>
          <w:highlight w:val="none"/>
          <w:lang w:val="en-US" w:eastAsia="zh-CN"/>
        </w:rPr>
        <w:t>新闻采访与写作1 2030213、新闻采访与写作2 2030214</w:t>
      </w:r>
      <w:r>
        <w:rPr>
          <w:color w:val="000000"/>
          <w:sz w:val="21"/>
          <w:szCs w:val="21"/>
          <w:highlight w:val="none"/>
        </w:rPr>
        <w:t>】</w:t>
      </w:r>
    </w:p>
    <w:p>
      <w:pPr>
        <w:adjustRightInd w:val="0"/>
        <w:snapToGrid w:val="0"/>
        <w:spacing w:line="288" w:lineRule="auto"/>
        <w:ind w:firstLine="411" w:firstLineChars="196"/>
        <w:rPr>
          <w:color w:val="000000"/>
          <w:sz w:val="21"/>
          <w:szCs w:val="21"/>
          <w:highlight w:val="none"/>
        </w:rPr>
      </w:pPr>
    </w:p>
    <w:p>
      <w:pPr>
        <w:adjustRightInd w:val="0"/>
        <w:snapToGrid w:val="0"/>
        <w:spacing w:beforeLines="50" w:afterLines="50" w:line="288" w:lineRule="auto"/>
        <w:ind w:firstLine="348" w:firstLineChars="145"/>
        <w:rPr>
          <w:b/>
          <w:color w:val="000000"/>
          <w:sz w:val="24"/>
          <w:szCs w:val="20"/>
          <w:highlight w:val="none"/>
        </w:rPr>
      </w:pPr>
      <w:r>
        <w:rPr>
          <w:rFonts w:ascii="黑体" w:hAnsi="宋体" w:eastAsia="黑体"/>
          <w:sz w:val="24"/>
          <w:highlight w:val="none"/>
        </w:rPr>
        <w:t>二</w:t>
      </w:r>
      <w:r>
        <w:rPr>
          <w:rFonts w:hint="eastAsia" w:ascii="黑体" w:hAnsi="宋体" w:eastAsia="黑体"/>
          <w:sz w:val="24"/>
          <w:highlight w:val="none"/>
        </w:rPr>
        <w:t>、</w:t>
      </w:r>
      <w:r>
        <w:rPr>
          <w:rFonts w:ascii="黑体" w:hAnsi="宋体" w:eastAsia="黑体"/>
          <w:sz w:val="24"/>
          <w:highlight w:val="none"/>
        </w:rPr>
        <w:t>课程简介（必填项）</w:t>
      </w:r>
    </w:p>
    <w:p>
      <w:pPr>
        <w:snapToGrid w:val="0"/>
        <w:spacing w:line="360" w:lineRule="auto"/>
        <w:ind w:firstLine="420" w:firstLineChars="200"/>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信息化时代和大数据浪潮使社会和企业对新闻学专业的学生要求不仅会采访写稿，还应掌握一定的数据挖掘和数据分析的能力，并掌握一定的数据可视化能力。因此，本课程通过数据新闻概述、数据收集方法、数据处理与分析方法、数据可视化报道呈现等知识与技能，培养学生数据新闻选题的敏感性和处理能力，独立完成数据新闻制作的全过程。</w:t>
      </w:r>
    </w:p>
    <w:p>
      <w:pPr>
        <w:snapToGrid w:val="0"/>
        <w:spacing w:line="360" w:lineRule="auto"/>
        <w:ind w:firstLine="420" w:firstLineChars="200"/>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本课程教学需培养以下四方面能力：培养学生能用图形叙事的意识；建立学生对数据信息描述的逻辑；训练学生发散性思维的能力；提高学生数据信息整合和图形设计的综合能力。课程通过项目制教学方法，指导学生进行数据新闻选题，勾画草图，进行PPT选题汇报，确定选题和数据新闻的逻辑关系，</w:t>
      </w:r>
      <w:r>
        <w:rPr>
          <w:rFonts w:hint="eastAsia" w:asciiTheme="majorEastAsia" w:hAnsiTheme="majorEastAsia" w:eastAsiaTheme="majorEastAsia" w:cstheme="majorEastAsia"/>
          <w:color w:val="000000"/>
          <w:sz w:val="21"/>
          <w:szCs w:val="21"/>
          <w:highlight w:val="none"/>
          <w:lang w:eastAsia="zh-CN"/>
        </w:rPr>
        <w:t>撰写数据新闻，</w:t>
      </w:r>
      <w:r>
        <w:rPr>
          <w:rFonts w:hint="eastAsia" w:asciiTheme="majorEastAsia" w:hAnsiTheme="majorEastAsia" w:eastAsiaTheme="majorEastAsia" w:cstheme="majorEastAsia"/>
          <w:color w:val="000000"/>
          <w:sz w:val="21"/>
          <w:szCs w:val="21"/>
          <w:highlight w:val="none"/>
        </w:rPr>
        <w:t>以</w:t>
      </w:r>
      <w:r>
        <w:rPr>
          <w:rFonts w:hint="eastAsia" w:asciiTheme="majorEastAsia" w:hAnsiTheme="majorEastAsia" w:eastAsiaTheme="majorEastAsia" w:cstheme="majorEastAsia"/>
          <w:color w:val="000000"/>
          <w:sz w:val="21"/>
          <w:szCs w:val="21"/>
          <w:highlight w:val="none"/>
          <w:lang w:eastAsia="zh-CN"/>
        </w:rPr>
        <w:t>网页</w:t>
      </w:r>
      <w:r>
        <w:rPr>
          <w:rFonts w:hint="eastAsia" w:asciiTheme="majorEastAsia" w:hAnsiTheme="majorEastAsia" w:eastAsiaTheme="majorEastAsia" w:cstheme="majorEastAsia"/>
          <w:color w:val="000000"/>
          <w:sz w:val="21"/>
          <w:szCs w:val="21"/>
          <w:highlight w:val="none"/>
        </w:rPr>
        <w:t>形式</w:t>
      </w:r>
      <w:r>
        <w:rPr>
          <w:rFonts w:hint="eastAsia" w:asciiTheme="majorEastAsia" w:hAnsiTheme="majorEastAsia" w:eastAsiaTheme="majorEastAsia" w:cstheme="majorEastAsia"/>
          <w:color w:val="000000"/>
          <w:sz w:val="21"/>
          <w:szCs w:val="21"/>
          <w:highlight w:val="none"/>
          <w:lang w:eastAsia="zh-CN"/>
        </w:rPr>
        <w:t>公开</w:t>
      </w:r>
      <w:r>
        <w:rPr>
          <w:rFonts w:hint="eastAsia" w:asciiTheme="majorEastAsia" w:hAnsiTheme="majorEastAsia" w:eastAsiaTheme="majorEastAsia" w:cstheme="majorEastAsia"/>
          <w:color w:val="000000"/>
          <w:sz w:val="21"/>
          <w:szCs w:val="21"/>
          <w:highlight w:val="none"/>
        </w:rPr>
        <w:t>发表数据新闻作品</w:t>
      </w:r>
      <w:r>
        <w:rPr>
          <w:rFonts w:hint="eastAsia" w:asciiTheme="majorEastAsia" w:hAnsiTheme="majorEastAsia" w:eastAsiaTheme="majorEastAsia" w:cstheme="majorEastAsia"/>
          <w:color w:val="000000"/>
          <w:sz w:val="21"/>
          <w:szCs w:val="21"/>
          <w:highlight w:val="none"/>
          <w:lang w:eastAsia="zh-CN"/>
        </w:rPr>
        <w:t>，参加学院每年举办的可视化新闻大赛</w:t>
      </w:r>
      <w:r>
        <w:rPr>
          <w:rFonts w:hint="eastAsia" w:asciiTheme="majorEastAsia" w:hAnsiTheme="majorEastAsia" w:eastAsiaTheme="majorEastAsia" w:cstheme="majorEastAsia"/>
          <w:color w:val="000000"/>
          <w:sz w:val="21"/>
          <w:szCs w:val="21"/>
          <w:highlight w:val="none"/>
        </w:rPr>
        <w:t>。</w:t>
      </w:r>
    </w:p>
    <w:p>
      <w:pPr>
        <w:snapToGrid w:val="0"/>
        <w:spacing w:line="288" w:lineRule="auto"/>
        <w:ind w:firstLine="400" w:firstLineChars="200"/>
        <w:rPr>
          <w:color w:val="000000"/>
          <w:sz w:val="20"/>
          <w:szCs w:val="20"/>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ascii="黑体" w:hAnsi="宋体" w:eastAsia="黑体"/>
          <w:sz w:val="24"/>
          <w:highlight w:val="none"/>
        </w:rPr>
        <w:t>三</w:t>
      </w:r>
      <w:r>
        <w:rPr>
          <w:rFonts w:hint="eastAsia" w:ascii="黑体" w:hAnsi="宋体" w:eastAsia="黑体"/>
          <w:sz w:val="24"/>
          <w:highlight w:val="none"/>
        </w:rPr>
        <w:t>、</w:t>
      </w:r>
      <w:r>
        <w:rPr>
          <w:rFonts w:ascii="黑体" w:hAnsi="宋体" w:eastAsia="黑体"/>
          <w:sz w:val="24"/>
          <w:highlight w:val="none"/>
        </w:rPr>
        <w:t>选课建议（必填项）</w:t>
      </w:r>
    </w:p>
    <w:p>
      <w:pPr>
        <w:snapToGrid w:val="0"/>
        <w:spacing w:line="288" w:lineRule="auto"/>
        <w:ind w:firstLine="420" w:firstLineChars="200"/>
        <w:rPr>
          <w:rFonts w:hint="eastAsia" w:eastAsiaTheme="minorEastAsia"/>
          <w:color w:val="000000"/>
          <w:sz w:val="21"/>
          <w:szCs w:val="21"/>
          <w:highlight w:val="none"/>
          <w:lang w:eastAsia="zh-CN"/>
        </w:rPr>
      </w:pPr>
      <w:r>
        <w:rPr>
          <w:rFonts w:hint="eastAsia"/>
          <w:color w:val="000000"/>
          <w:sz w:val="21"/>
          <w:szCs w:val="21"/>
          <w:highlight w:val="none"/>
          <w:lang w:eastAsia="zh-CN"/>
        </w:rPr>
        <w:t>本课程适合有一定的新闻学基础知识、新闻采访与写作知识与技能的新闻学本科三年级学生。</w:t>
      </w:r>
    </w:p>
    <w:p>
      <w:pPr>
        <w:widowControl/>
        <w:spacing w:beforeLines="50" w:afterLines="50" w:line="288" w:lineRule="auto"/>
        <w:ind w:firstLine="360" w:firstLineChars="150"/>
        <w:jc w:val="left"/>
        <w:rPr>
          <w:rFonts w:ascii="黑体" w:hAnsi="宋体" w:eastAsia="黑体"/>
          <w:sz w:val="24"/>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ascii="黑体" w:hAnsi="宋体" w:eastAsia="黑体"/>
          <w:sz w:val="24"/>
          <w:highlight w:val="none"/>
        </w:rPr>
        <w:t>四</w:t>
      </w:r>
      <w:r>
        <w:rPr>
          <w:rFonts w:hint="eastAsia" w:ascii="黑体" w:hAnsi="宋体" w:eastAsia="黑体"/>
          <w:sz w:val="24"/>
          <w:highlight w:val="none"/>
        </w:rPr>
        <w:t>、</w:t>
      </w:r>
      <w:r>
        <w:rPr>
          <w:rFonts w:ascii="黑体" w:hAnsi="宋体" w:eastAsia="黑体"/>
          <w:sz w:val="24"/>
          <w:highlight w:val="none"/>
        </w:rPr>
        <w:t>课程与</w:t>
      </w:r>
      <w:r>
        <w:rPr>
          <w:rFonts w:hint="eastAsia" w:ascii="黑体" w:hAnsi="宋体" w:eastAsia="黑体"/>
          <w:sz w:val="24"/>
          <w:highlight w:val="none"/>
        </w:rPr>
        <w:t>专业毕业要求</w:t>
      </w:r>
      <w:r>
        <w:rPr>
          <w:rFonts w:ascii="黑体" w:hAnsi="宋体" w:eastAsia="黑体"/>
          <w:sz w:val="24"/>
          <w:highlight w:val="none"/>
        </w:rPr>
        <w:t>的关联性（必填项）</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1"/>
                <w:szCs w:val="21"/>
                <w:highlight w:val="none"/>
              </w:rPr>
            </w:pPr>
            <w:r>
              <w:rPr>
                <w:rFonts w:hint="eastAsia" w:ascii="黑体" w:hAnsi="黑体" w:eastAsia="黑体" w:cs="黑体"/>
                <w:kern w:val="0"/>
                <w:sz w:val="21"/>
                <w:szCs w:val="21"/>
                <w:highlight w:val="none"/>
              </w:rPr>
              <w:t>专业毕业要求</w:t>
            </w:r>
          </w:p>
        </w:tc>
        <w:tc>
          <w:tcPr>
            <w:tcW w:w="727" w:type="dxa"/>
          </w:tcPr>
          <w:p>
            <w:pPr>
              <w:jc w:val="center"/>
              <w:rPr>
                <w:rFonts w:ascii="黑体" w:hAnsi="黑体" w:eastAsia="黑体" w:cs="黑体"/>
                <w:kern w:val="0"/>
                <w:sz w:val="21"/>
                <w:szCs w:val="21"/>
                <w:highlight w:val="none"/>
              </w:rPr>
            </w:pPr>
            <w:r>
              <w:rPr>
                <w:rFonts w:hint="eastAsia" w:ascii="黑体" w:hAnsi="黑体" w:eastAsia="黑体" w:cs="黑体"/>
                <w:kern w:val="0"/>
                <w:sz w:val="21"/>
                <w:szCs w:val="21"/>
                <w:highlight w:val="none"/>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kern w:val="0"/>
                <w:sz w:val="21"/>
                <w:szCs w:val="21"/>
                <w:highlight w:val="none"/>
              </w:rPr>
            </w:pPr>
            <w:r>
              <w:rPr>
                <w:rFonts w:hint="eastAsia" w:ascii="仿宋" w:hAnsi="仿宋" w:eastAsia="仿宋" w:cs="宋体"/>
                <w:color w:val="000000"/>
                <w:kern w:val="0"/>
                <w:sz w:val="21"/>
                <w:szCs w:val="21"/>
                <w:highlight w:val="none"/>
              </w:rPr>
              <w:t>LO11：（此处请填写各专业的毕业要求）</w:t>
            </w:r>
          </w:p>
        </w:tc>
        <w:tc>
          <w:tcPr>
            <w:tcW w:w="727" w:type="dxa"/>
            <w:vAlign w:val="center"/>
          </w:tcPr>
          <w:p>
            <w:pPr>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LO21：</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LO31：</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LO32：</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LO33：LO331熟悉传统的新闻体例，并能与时俱进地应用新媒体写作方式。</w:t>
            </w:r>
          </w:p>
          <w:p>
            <w:pPr>
              <w:widowControl/>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LO332进行有传播价值的文稿写作</w:t>
            </w:r>
            <w:r>
              <w:rPr>
                <w:rFonts w:hint="eastAsia" w:ascii="仿宋" w:hAnsi="仿宋" w:eastAsia="仿宋" w:cs="宋体"/>
                <w:color w:val="000000"/>
                <w:kern w:val="0"/>
                <w:sz w:val="21"/>
                <w:szCs w:val="21"/>
                <w:highlight w:val="none"/>
                <w:lang w:eastAsia="zh-CN"/>
              </w:rPr>
              <w:t>。</w:t>
            </w:r>
          </w:p>
        </w:tc>
        <w:tc>
          <w:tcPr>
            <w:tcW w:w="727" w:type="dxa"/>
            <w:vAlign w:val="center"/>
          </w:tcPr>
          <w:p>
            <w:pPr>
              <w:widowControl/>
              <w:jc w:val="center"/>
              <w:rPr>
                <w:rFonts w:ascii="仿宋" w:hAnsi="仿宋" w:eastAsia="仿宋" w:cs="宋体"/>
                <w:color w:val="000000"/>
                <w:kern w:val="0"/>
                <w:sz w:val="21"/>
                <w:szCs w:val="21"/>
                <w:highlight w:val="none"/>
              </w:rPr>
            </w:pPr>
            <w:r>
              <w:rPr>
                <w:color w:val="000000"/>
                <w:kern w:val="0"/>
                <w:sz w:val="21"/>
                <w:szCs w:val="21"/>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LO34：</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LO35：L0351熟悉传统媒介并关注新媒介与时俱进的新变化。L0352娴熟掌握至少两种传播媒介应用技能。</w:t>
            </w:r>
          </w:p>
        </w:tc>
        <w:tc>
          <w:tcPr>
            <w:tcW w:w="727" w:type="dxa"/>
            <w:vAlign w:val="center"/>
          </w:tcPr>
          <w:p>
            <w:pPr>
              <w:widowControl/>
              <w:jc w:val="center"/>
              <w:rPr>
                <w:rFonts w:ascii="仿宋" w:hAnsi="仿宋" w:eastAsia="仿宋" w:cs="宋体"/>
                <w:color w:val="000000"/>
                <w:kern w:val="0"/>
                <w:sz w:val="21"/>
                <w:szCs w:val="21"/>
                <w:highlight w:val="none"/>
              </w:rPr>
            </w:pPr>
            <w:r>
              <w:rPr>
                <w:color w:val="000000"/>
                <w:kern w:val="0"/>
                <w:sz w:val="21"/>
                <w:szCs w:val="21"/>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LO36：</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LO41：LO414身心健康，能承受学习和生活中的压力。</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LO51：</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LO61：LO613能把现代信息技术融入到新闻宣传工作各个环节。</w:t>
            </w:r>
          </w:p>
        </w:tc>
        <w:tc>
          <w:tcPr>
            <w:tcW w:w="727" w:type="dxa"/>
            <w:vAlign w:val="center"/>
          </w:tcPr>
          <w:p>
            <w:pPr>
              <w:widowControl/>
              <w:jc w:val="center"/>
              <w:rPr>
                <w:rFonts w:ascii="仿宋" w:hAnsi="仿宋" w:eastAsia="仿宋" w:cs="宋体"/>
                <w:color w:val="000000"/>
                <w:kern w:val="0"/>
                <w:sz w:val="21"/>
                <w:szCs w:val="21"/>
                <w:highlight w:val="none"/>
              </w:rPr>
            </w:pPr>
            <w:r>
              <w:rPr>
                <w:color w:val="000000"/>
                <w:kern w:val="0"/>
                <w:sz w:val="21"/>
                <w:szCs w:val="21"/>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LO71：</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LO81：</w:t>
            </w:r>
          </w:p>
        </w:tc>
        <w:tc>
          <w:tcPr>
            <w:tcW w:w="727" w:type="dxa"/>
            <w:vAlign w:val="center"/>
          </w:tcPr>
          <w:p>
            <w:pPr>
              <w:widowControl/>
              <w:jc w:val="center"/>
              <w:rPr>
                <w:rFonts w:ascii="仿宋" w:hAnsi="仿宋" w:eastAsia="仿宋" w:cs="宋体"/>
                <w:color w:val="000000"/>
                <w:kern w:val="0"/>
                <w:sz w:val="21"/>
                <w:szCs w:val="21"/>
                <w:highlight w:val="none"/>
              </w:rPr>
            </w:pPr>
          </w:p>
        </w:tc>
      </w:tr>
    </w:tbl>
    <w:p>
      <w:pPr>
        <w:ind w:firstLine="420" w:firstLineChars="200"/>
        <w:rPr>
          <w:highlight w:val="none"/>
        </w:rPr>
      </w:pPr>
      <w:r>
        <w:rPr>
          <w:rFonts w:hint="eastAsia"/>
          <w:highlight w:val="none"/>
        </w:rPr>
        <w:t>备注：LO=</w:t>
      </w:r>
      <w:r>
        <w:rPr>
          <w:highlight w:val="none"/>
        </w:rPr>
        <w:t>learning outcomes</w:t>
      </w:r>
      <w:r>
        <w:rPr>
          <w:rFonts w:hint="eastAsia"/>
          <w:highlight w:val="none"/>
        </w:rPr>
        <w:t>（学习成果）</w:t>
      </w:r>
    </w:p>
    <w:p>
      <w:pPr>
        <w:rPr>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（必填项）（</w:t>
      </w:r>
      <w:r>
        <w:rPr>
          <w:rFonts w:hint="eastAsia" w:ascii="黑体" w:hAnsi="宋体" w:eastAsia="黑体"/>
          <w:sz w:val="24"/>
          <w:highlight w:val="none"/>
        </w:rPr>
        <w:t>预期学习成果</w:t>
      </w:r>
      <w:r>
        <w:rPr>
          <w:rFonts w:ascii="黑体" w:hAnsi="宋体" w:eastAsia="黑体"/>
          <w:sz w:val="24"/>
          <w:highlight w:val="none"/>
        </w:rPr>
        <w:t>要可测量/能够证明）</w:t>
      </w:r>
    </w:p>
    <w:tbl>
      <w:tblPr>
        <w:tblStyle w:val="5"/>
        <w:tblpPr w:leftFromText="180" w:rightFromText="180" w:vertAnchor="text" w:horzAnchor="page" w:tblpX="2037" w:tblpY="272"/>
        <w:tblOverlap w:val="never"/>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555"/>
        <w:gridCol w:w="3289"/>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b/>
                <w:color w:val="000000"/>
                <w:sz w:val="21"/>
                <w:szCs w:val="21"/>
                <w:highlight w:val="none"/>
              </w:rPr>
            </w:pPr>
            <w:r>
              <w:rPr>
                <w:rFonts w:hint="eastAsia"/>
                <w:b/>
                <w:color w:val="000000"/>
                <w:sz w:val="21"/>
                <w:szCs w:val="21"/>
                <w:highlight w:val="none"/>
              </w:rPr>
              <w:t>序号</w:t>
            </w:r>
          </w:p>
        </w:tc>
        <w:tc>
          <w:tcPr>
            <w:tcW w:w="2555" w:type="dxa"/>
            <w:shd w:val="clear" w:color="auto" w:fill="auto"/>
          </w:tcPr>
          <w:p>
            <w:pPr>
              <w:snapToGrid w:val="0"/>
              <w:spacing w:line="288" w:lineRule="auto"/>
              <w:jc w:val="center"/>
              <w:rPr>
                <w:b/>
                <w:color w:val="000000"/>
                <w:sz w:val="21"/>
                <w:szCs w:val="21"/>
                <w:highlight w:val="none"/>
              </w:rPr>
            </w:pPr>
            <w:r>
              <w:rPr>
                <w:rFonts w:hint="eastAsia"/>
                <w:b/>
                <w:color w:val="000000"/>
                <w:sz w:val="21"/>
                <w:szCs w:val="21"/>
                <w:highlight w:val="none"/>
              </w:rPr>
              <w:t>课程预期学习成果</w:t>
            </w:r>
          </w:p>
        </w:tc>
        <w:tc>
          <w:tcPr>
            <w:tcW w:w="3289" w:type="dxa"/>
            <w:shd w:val="clear" w:color="auto" w:fill="auto"/>
            <w:vAlign w:val="center"/>
          </w:tcPr>
          <w:p>
            <w:pPr>
              <w:snapToGrid w:val="0"/>
              <w:spacing w:line="288" w:lineRule="auto"/>
              <w:jc w:val="center"/>
              <w:rPr>
                <w:b/>
                <w:color w:val="000000"/>
                <w:sz w:val="21"/>
                <w:szCs w:val="21"/>
                <w:highlight w:val="none"/>
              </w:rPr>
            </w:pPr>
            <w:r>
              <w:rPr>
                <w:rFonts w:hint="eastAsia"/>
                <w:b/>
                <w:color w:val="000000"/>
                <w:sz w:val="21"/>
                <w:szCs w:val="21"/>
                <w:highlight w:val="none"/>
              </w:rPr>
              <w:t>教与学方式</w:t>
            </w:r>
          </w:p>
        </w:tc>
        <w:tc>
          <w:tcPr>
            <w:tcW w:w="1673" w:type="dxa"/>
            <w:shd w:val="clear" w:color="auto" w:fill="auto"/>
            <w:vAlign w:val="center"/>
          </w:tcPr>
          <w:p>
            <w:pPr>
              <w:snapToGrid w:val="0"/>
              <w:spacing w:line="288" w:lineRule="auto"/>
              <w:jc w:val="center"/>
              <w:rPr>
                <w:b/>
                <w:color w:val="000000"/>
                <w:sz w:val="21"/>
                <w:szCs w:val="21"/>
                <w:highlight w:val="none"/>
              </w:rPr>
            </w:pPr>
            <w:r>
              <w:rPr>
                <w:rFonts w:hint="eastAsia"/>
                <w:b/>
                <w:color w:val="000000"/>
                <w:sz w:val="21"/>
                <w:szCs w:val="21"/>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1"/>
                <w:szCs w:val="21"/>
                <w:highlight w:val="none"/>
              </w:rPr>
            </w:pPr>
            <w:r>
              <w:rPr>
                <w:rFonts w:hint="eastAsia" w:ascii="黑体" w:hAnsi="宋体" w:eastAsia="黑体"/>
                <w:sz w:val="21"/>
                <w:szCs w:val="21"/>
                <w:highlight w:val="none"/>
              </w:rPr>
              <w:t>1</w:t>
            </w:r>
          </w:p>
        </w:tc>
        <w:tc>
          <w:tcPr>
            <w:tcW w:w="2555" w:type="dxa"/>
            <w:shd w:val="clear" w:color="auto" w:fill="auto"/>
            <w:vAlign w:val="center"/>
          </w:tcPr>
          <w:p>
            <w:pPr>
              <w:snapToGrid w:val="0"/>
              <w:spacing w:line="288" w:lineRule="auto"/>
              <w:jc w:val="both"/>
              <w:rPr>
                <w:color w:val="000000"/>
                <w:sz w:val="21"/>
                <w:szCs w:val="21"/>
                <w:highlight w:val="none"/>
              </w:rPr>
            </w:pPr>
            <w:r>
              <w:rPr>
                <w:rFonts w:hint="eastAsia"/>
                <w:color w:val="000000"/>
                <w:sz w:val="21"/>
                <w:szCs w:val="21"/>
                <w:highlight w:val="none"/>
              </w:rPr>
              <w:t>熟悉传统的新闻体例，并能与时俱进地应用新媒体写作方式</w:t>
            </w:r>
          </w:p>
        </w:tc>
        <w:tc>
          <w:tcPr>
            <w:tcW w:w="3289"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数据新闻选题、小组讨论</w:t>
            </w:r>
          </w:p>
        </w:tc>
        <w:tc>
          <w:tcPr>
            <w:tcW w:w="1673" w:type="dxa"/>
            <w:shd w:val="clear" w:color="auto" w:fill="auto"/>
            <w:vAlign w:val="center"/>
          </w:tcPr>
          <w:p>
            <w:pPr>
              <w:snapToGrid w:val="0"/>
              <w:spacing w:line="288" w:lineRule="auto"/>
              <w:jc w:val="center"/>
              <w:rPr>
                <w:rFonts w:hint="eastAsia"/>
                <w:color w:val="000000"/>
                <w:sz w:val="21"/>
                <w:szCs w:val="21"/>
                <w:highlight w:val="none"/>
                <w:lang w:eastAsia="zh-CN"/>
              </w:rPr>
            </w:pPr>
            <w:r>
              <w:rPr>
                <w:rFonts w:hint="eastAsia"/>
                <w:color w:val="000000"/>
                <w:sz w:val="21"/>
                <w:szCs w:val="21"/>
                <w:highlight w:val="none"/>
                <w:lang w:eastAsia="zh-CN"/>
              </w:rPr>
              <w:t>课堂小组汇报</w:t>
            </w:r>
          </w:p>
          <w:p>
            <w:pPr>
              <w:snapToGrid w:val="0"/>
              <w:spacing w:line="288" w:lineRule="auto"/>
              <w:jc w:val="center"/>
              <w:rPr>
                <w:rFonts w:hint="eastAsia"/>
                <w:color w:val="000000"/>
                <w:sz w:val="21"/>
                <w:szCs w:val="21"/>
                <w:highlight w:val="none"/>
                <w:lang w:eastAsia="zh-CN"/>
              </w:rPr>
            </w:pPr>
            <w:r>
              <w:rPr>
                <w:rFonts w:hint="eastAsia"/>
                <w:color w:val="000000"/>
                <w:sz w:val="21"/>
                <w:szCs w:val="21"/>
                <w:highlight w:val="none"/>
                <w:lang w:eastAsia="zh-CN"/>
              </w:rPr>
              <w:t>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1"/>
                <w:szCs w:val="21"/>
                <w:highlight w:val="none"/>
              </w:rPr>
            </w:pPr>
            <w:r>
              <w:rPr>
                <w:rFonts w:hint="eastAsia" w:ascii="黑体" w:hAnsi="宋体" w:eastAsia="黑体"/>
                <w:sz w:val="21"/>
                <w:szCs w:val="21"/>
                <w:highlight w:val="none"/>
              </w:rPr>
              <w:t>2</w:t>
            </w:r>
          </w:p>
        </w:tc>
        <w:tc>
          <w:tcPr>
            <w:tcW w:w="2555" w:type="dxa"/>
            <w:shd w:val="clear" w:color="auto" w:fill="auto"/>
            <w:vAlign w:val="center"/>
          </w:tcPr>
          <w:p>
            <w:pPr>
              <w:snapToGrid w:val="0"/>
              <w:spacing w:line="288" w:lineRule="auto"/>
              <w:jc w:val="both"/>
              <w:rPr>
                <w:color w:val="000000"/>
                <w:sz w:val="21"/>
                <w:szCs w:val="21"/>
                <w:highlight w:val="none"/>
              </w:rPr>
            </w:pPr>
            <w:r>
              <w:rPr>
                <w:rFonts w:hint="eastAsia"/>
                <w:color w:val="000000"/>
                <w:sz w:val="21"/>
                <w:szCs w:val="21"/>
                <w:highlight w:val="none"/>
              </w:rPr>
              <w:t>进行有传播价值的文稿写作</w:t>
            </w:r>
          </w:p>
        </w:tc>
        <w:tc>
          <w:tcPr>
            <w:tcW w:w="3289" w:type="dxa"/>
            <w:shd w:val="clear" w:color="auto" w:fill="auto"/>
            <w:vAlign w:val="center"/>
          </w:tcPr>
          <w:p>
            <w:pPr>
              <w:snapToGrid w:val="0"/>
              <w:spacing w:line="288" w:lineRule="auto"/>
              <w:jc w:val="center"/>
              <w:rPr>
                <w:rFonts w:hint="eastAsia"/>
                <w:color w:val="000000"/>
                <w:sz w:val="21"/>
                <w:szCs w:val="21"/>
                <w:highlight w:val="none"/>
                <w:lang w:eastAsia="zh-CN"/>
              </w:rPr>
            </w:pPr>
            <w:r>
              <w:rPr>
                <w:rFonts w:hint="eastAsia"/>
                <w:color w:val="000000"/>
                <w:sz w:val="21"/>
                <w:szCs w:val="21"/>
                <w:highlight w:val="none"/>
                <w:lang w:eastAsia="zh-CN"/>
              </w:rPr>
              <w:t>案例讲解、小组讨论</w:t>
            </w:r>
          </w:p>
        </w:tc>
        <w:tc>
          <w:tcPr>
            <w:tcW w:w="1673"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数据新闻作品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1"/>
                <w:szCs w:val="21"/>
                <w:highlight w:val="none"/>
              </w:rPr>
            </w:pPr>
            <w:r>
              <w:rPr>
                <w:rFonts w:hint="eastAsia" w:ascii="黑体" w:hAnsi="宋体" w:eastAsia="黑体"/>
                <w:sz w:val="21"/>
                <w:szCs w:val="21"/>
                <w:highlight w:val="none"/>
              </w:rPr>
              <w:t>3</w:t>
            </w:r>
          </w:p>
        </w:tc>
        <w:tc>
          <w:tcPr>
            <w:tcW w:w="2555" w:type="dxa"/>
            <w:shd w:val="clear" w:color="auto" w:fill="auto"/>
            <w:vAlign w:val="center"/>
          </w:tcPr>
          <w:p>
            <w:pPr>
              <w:snapToGrid w:val="0"/>
              <w:spacing w:line="288" w:lineRule="auto"/>
              <w:jc w:val="both"/>
              <w:rPr>
                <w:color w:val="000000"/>
                <w:sz w:val="21"/>
                <w:szCs w:val="21"/>
                <w:highlight w:val="none"/>
              </w:rPr>
            </w:pPr>
            <w:r>
              <w:rPr>
                <w:rFonts w:hint="eastAsia"/>
                <w:color w:val="000000"/>
                <w:sz w:val="21"/>
                <w:szCs w:val="21"/>
                <w:highlight w:val="none"/>
              </w:rPr>
              <w:t>熟悉传统媒介并关注新媒介与时俱进的新变化</w:t>
            </w:r>
          </w:p>
        </w:tc>
        <w:tc>
          <w:tcPr>
            <w:tcW w:w="3289"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课外阅读资料（书刊、论文、新闻报道）</w:t>
            </w:r>
          </w:p>
        </w:tc>
        <w:tc>
          <w:tcPr>
            <w:tcW w:w="1673"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1"/>
                <w:szCs w:val="21"/>
                <w:highlight w:val="none"/>
              </w:rPr>
            </w:pPr>
            <w:r>
              <w:rPr>
                <w:rFonts w:hint="eastAsia" w:ascii="黑体" w:hAnsi="宋体" w:eastAsia="黑体"/>
                <w:sz w:val="21"/>
                <w:szCs w:val="21"/>
                <w:highlight w:val="none"/>
              </w:rPr>
              <w:t>4</w:t>
            </w:r>
          </w:p>
        </w:tc>
        <w:tc>
          <w:tcPr>
            <w:tcW w:w="2555" w:type="dxa"/>
            <w:shd w:val="clear" w:color="auto" w:fill="auto"/>
            <w:vAlign w:val="center"/>
          </w:tcPr>
          <w:p>
            <w:pPr>
              <w:snapToGrid w:val="0"/>
              <w:spacing w:line="288" w:lineRule="auto"/>
              <w:jc w:val="both"/>
              <w:rPr>
                <w:color w:val="000000"/>
                <w:sz w:val="21"/>
                <w:szCs w:val="21"/>
                <w:highlight w:val="none"/>
              </w:rPr>
            </w:pPr>
            <w:r>
              <w:rPr>
                <w:rFonts w:hint="eastAsia"/>
                <w:color w:val="000000"/>
                <w:sz w:val="21"/>
                <w:szCs w:val="21"/>
                <w:highlight w:val="none"/>
              </w:rPr>
              <w:t>娴熟掌握至少两种传播媒介应用技能</w:t>
            </w:r>
          </w:p>
        </w:tc>
        <w:tc>
          <w:tcPr>
            <w:tcW w:w="3289" w:type="dxa"/>
            <w:shd w:val="clear" w:color="auto" w:fill="auto"/>
            <w:vAlign w:val="center"/>
          </w:tcPr>
          <w:p>
            <w:pPr>
              <w:snapToGrid w:val="0"/>
              <w:spacing w:line="288" w:lineRule="auto"/>
              <w:jc w:val="center"/>
              <w:rPr>
                <w:rFonts w:hint="eastAsia"/>
                <w:color w:val="000000"/>
                <w:sz w:val="21"/>
                <w:szCs w:val="21"/>
                <w:highlight w:val="none"/>
                <w:lang w:eastAsia="zh-CN"/>
              </w:rPr>
            </w:pPr>
            <w:r>
              <w:rPr>
                <w:rFonts w:hint="eastAsia"/>
                <w:color w:val="000000"/>
                <w:sz w:val="21"/>
                <w:szCs w:val="21"/>
                <w:highlight w:val="none"/>
                <w:lang w:eastAsia="zh-CN"/>
              </w:rPr>
              <w:t>讲授、练习</w:t>
            </w:r>
          </w:p>
        </w:tc>
        <w:tc>
          <w:tcPr>
            <w:tcW w:w="1673"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数据新闻作品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1"/>
                <w:szCs w:val="21"/>
                <w:highlight w:val="none"/>
              </w:rPr>
            </w:pPr>
            <w:r>
              <w:rPr>
                <w:rFonts w:hint="eastAsia" w:ascii="黑体" w:hAnsi="宋体" w:eastAsia="黑体"/>
                <w:sz w:val="21"/>
                <w:szCs w:val="21"/>
                <w:highlight w:val="none"/>
              </w:rPr>
              <w:t>5</w:t>
            </w:r>
          </w:p>
        </w:tc>
        <w:tc>
          <w:tcPr>
            <w:tcW w:w="2555" w:type="dxa"/>
            <w:shd w:val="clear" w:color="auto" w:fill="auto"/>
            <w:vAlign w:val="center"/>
          </w:tcPr>
          <w:p>
            <w:pPr>
              <w:snapToGrid w:val="0"/>
              <w:spacing w:line="288" w:lineRule="auto"/>
              <w:jc w:val="both"/>
              <w:rPr>
                <w:color w:val="000000"/>
                <w:sz w:val="21"/>
                <w:szCs w:val="21"/>
                <w:highlight w:val="none"/>
              </w:rPr>
            </w:pPr>
            <w:r>
              <w:rPr>
                <w:rFonts w:hint="eastAsia"/>
                <w:color w:val="000000"/>
                <w:sz w:val="21"/>
                <w:szCs w:val="21"/>
                <w:highlight w:val="none"/>
              </w:rPr>
              <w:t>身心健康，能承受学习和生活中的压力</w:t>
            </w:r>
          </w:p>
        </w:tc>
        <w:tc>
          <w:tcPr>
            <w:tcW w:w="3289"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小组根据时间节点准时完成数据新闻作品的每个流程</w:t>
            </w:r>
          </w:p>
        </w:tc>
        <w:tc>
          <w:tcPr>
            <w:tcW w:w="1673"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课堂小组汇报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1"/>
                <w:szCs w:val="21"/>
                <w:highlight w:val="none"/>
              </w:rPr>
            </w:pPr>
            <w:r>
              <w:rPr>
                <w:rFonts w:hint="eastAsia" w:ascii="黑体" w:hAnsi="宋体" w:eastAsia="黑体"/>
                <w:sz w:val="21"/>
                <w:szCs w:val="21"/>
                <w:highlight w:val="none"/>
              </w:rPr>
              <w:t>6</w:t>
            </w:r>
          </w:p>
        </w:tc>
        <w:tc>
          <w:tcPr>
            <w:tcW w:w="2555" w:type="dxa"/>
            <w:shd w:val="clear" w:color="auto" w:fill="auto"/>
            <w:vAlign w:val="center"/>
          </w:tcPr>
          <w:p>
            <w:pPr>
              <w:snapToGrid w:val="0"/>
              <w:spacing w:line="288" w:lineRule="auto"/>
              <w:jc w:val="both"/>
              <w:rPr>
                <w:color w:val="000000"/>
                <w:sz w:val="21"/>
                <w:szCs w:val="21"/>
                <w:highlight w:val="none"/>
              </w:rPr>
            </w:pPr>
            <w:r>
              <w:rPr>
                <w:rFonts w:hint="eastAsia"/>
                <w:color w:val="000000"/>
                <w:sz w:val="21"/>
                <w:szCs w:val="21"/>
                <w:highlight w:val="none"/>
              </w:rPr>
              <w:t>能把现代信息技术融入到新闻宣传工作各个环节</w:t>
            </w:r>
          </w:p>
        </w:tc>
        <w:tc>
          <w:tcPr>
            <w:tcW w:w="3289" w:type="dxa"/>
            <w:shd w:val="clear" w:color="auto" w:fill="auto"/>
            <w:vAlign w:val="center"/>
          </w:tcPr>
          <w:p>
            <w:pPr>
              <w:snapToGrid w:val="0"/>
              <w:spacing w:line="288" w:lineRule="auto"/>
              <w:jc w:val="center"/>
              <w:rPr>
                <w:rFonts w:hint="eastAsia"/>
                <w:color w:val="000000"/>
                <w:sz w:val="21"/>
                <w:szCs w:val="21"/>
                <w:highlight w:val="none"/>
                <w:lang w:eastAsia="zh-CN"/>
              </w:rPr>
            </w:pPr>
            <w:r>
              <w:rPr>
                <w:rFonts w:hint="eastAsia"/>
                <w:color w:val="000000"/>
                <w:sz w:val="21"/>
                <w:szCs w:val="21"/>
                <w:highlight w:val="none"/>
                <w:lang w:eastAsia="zh-CN"/>
              </w:rPr>
              <w:t>作品分享与推介</w:t>
            </w:r>
          </w:p>
        </w:tc>
        <w:tc>
          <w:tcPr>
            <w:tcW w:w="1673" w:type="dxa"/>
            <w:shd w:val="clear" w:color="auto" w:fill="auto"/>
            <w:vAlign w:val="center"/>
          </w:tcPr>
          <w:p>
            <w:pPr>
              <w:snapToGrid w:val="0"/>
              <w:spacing w:line="288" w:lineRule="auto"/>
              <w:jc w:val="center"/>
              <w:rPr>
                <w:rFonts w:hint="eastAsia"/>
                <w:color w:val="000000"/>
                <w:sz w:val="21"/>
                <w:szCs w:val="21"/>
                <w:highlight w:val="none"/>
                <w:lang w:eastAsia="zh-CN"/>
              </w:rPr>
            </w:pPr>
            <w:r>
              <w:rPr>
                <w:rFonts w:hint="eastAsia"/>
                <w:color w:val="000000"/>
                <w:sz w:val="21"/>
                <w:szCs w:val="21"/>
                <w:highlight w:val="none"/>
                <w:lang w:eastAsia="zh-CN"/>
              </w:rPr>
              <w:t>以网页形式公开发表，参加学院可视化新闻大赛</w:t>
            </w:r>
          </w:p>
        </w:tc>
      </w:tr>
    </w:tbl>
    <w:p>
      <w:pPr>
        <w:widowControl/>
        <w:spacing w:beforeLines="50" w:afterLines="50" w:line="288" w:lineRule="auto"/>
        <w:jc w:val="left"/>
        <w:rPr>
          <w:rFonts w:hint="eastAsia" w:ascii="黑体" w:hAnsi="宋体" w:eastAsia="黑体"/>
          <w:sz w:val="24"/>
          <w:highlight w:val="none"/>
        </w:rPr>
      </w:pPr>
    </w:p>
    <w:p>
      <w:pPr>
        <w:widowControl/>
        <w:spacing w:beforeLines="50" w:afterLines="50" w:line="288" w:lineRule="auto"/>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课程内容（必填项）</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28"/>
        <w:gridCol w:w="1612"/>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snapToGrid w:val="0"/>
              <w:spacing w:line="288" w:lineRule="auto"/>
              <w:jc w:val="center"/>
              <w:rPr>
                <w:rFonts w:hint="eastAsia" w:ascii="宋体" w:hAnsi="宋体" w:eastAsiaTheme="minorEastAsia"/>
                <w:b/>
                <w:bCs/>
                <w:sz w:val="21"/>
                <w:szCs w:val="21"/>
                <w:highlight w:val="none"/>
                <w:vertAlign w:val="baseline"/>
                <w:lang w:val="en-US" w:eastAsia="zh-CN"/>
              </w:rPr>
            </w:pPr>
            <w:r>
              <w:rPr>
                <w:rFonts w:hint="eastAsia" w:ascii="宋体" w:hAnsi="宋体"/>
                <w:b/>
                <w:bCs/>
                <w:sz w:val="21"/>
                <w:szCs w:val="21"/>
                <w:highlight w:val="none"/>
                <w:vertAlign w:val="baseline"/>
                <w:lang w:val="en-US" w:eastAsia="zh-CN"/>
              </w:rPr>
              <w:t>单元及课时</w:t>
            </w:r>
          </w:p>
        </w:tc>
        <w:tc>
          <w:tcPr>
            <w:tcW w:w="1228" w:type="dxa"/>
            <w:vAlign w:val="center"/>
          </w:tcPr>
          <w:p>
            <w:pPr>
              <w:snapToGrid w:val="0"/>
              <w:spacing w:line="288" w:lineRule="auto"/>
              <w:jc w:val="center"/>
              <w:rPr>
                <w:rFonts w:hint="eastAsia" w:ascii="宋体" w:hAnsi="宋体" w:eastAsiaTheme="minorEastAsia"/>
                <w:b/>
                <w:bCs/>
                <w:sz w:val="21"/>
                <w:szCs w:val="21"/>
                <w:highlight w:val="none"/>
                <w:vertAlign w:val="baseline"/>
                <w:lang w:eastAsia="zh-CN"/>
              </w:rPr>
            </w:pPr>
            <w:r>
              <w:rPr>
                <w:rFonts w:hint="eastAsia" w:ascii="宋体" w:hAnsi="宋体"/>
                <w:b/>
                <w:bCs/>
                <w:sz w:val="21"/>
                <w:szCs w:val="21"/>
                <w:highlight w:val="none"/>
                <w:vertAlign w:val="baseline"/>
                <w:lang w:eastAsia="zh-CN"/>
              </w:rPr>
              <w:t>工作任务</w:t>
            </w:r>
          </w:p>
        </w:tc>
        <w:tc>
          <w:tcPr>
            <w:tcW w:w="1612" w:type="dxa"/>
            <w:vAlign w:val="center"/>
          </w:tcPr>
          <w:p>
            <w:pPr>
              <w:snapToGrid w:val="0"/>
              <w:spacing w:line="288" w:lineRule="auto"/>
              <w:jc w:val="center"/>
              <w:rPr>
                <w:rFonts w:hint="eastAsia" w:ascii="宋体" w:hAnsi="宋体" w:eastAsiaTheme="minorEastAsia"/>
                <w:b/>
                <w:bCs/>
                <w:sz w:val="21"/>
                <w:szCs w:val="21"/>
                <w:highlight w:val="none"/>
                <w:vertAlign w:val="baseline"/>
                <w:lang w:eastAsia="zh-CN"/>
              </w:rPr>
            </w:pPr>
            <w:r>
              <w:rPr>
                <w:rFonts w:hint="eastAsia" w:ascii="宋体" w:hAnsi="宋体"/>
                <w:b/>
                <w:bCs/>
                <w:sz w:val="21"/>
                <w:szCs w:val="21"/>
                <w:highlight w:val="none"/>
                <w:vertAlign w:val="baseline"/>
                <w:lang w:eastAsia="zh-CN"/>
              </w:rPr>
              <w:t>技能要求</w:t>
            </w:r>
          </w:p>
        </w:tc>
        <w:tc>
          <w:tcPr>
            <w:tcW w:w="1420" w:type="dxa"/>
            <w:vAlign w:val="center"/>
          </w:tcPr>
          <w:p>
            <w:pPr>
              <w:snapToGrid w:val="0"/>
              <w:spacing w:line="288" w:lineRule="auto"/>
              <w:jc w:val="center"/>
              <w:rPr>
                <w:rFonts w:hint="eastAsia" w:ascii="宋体" w:hAnsi="宋体" w:eastAsiaTheme="minorEastAsia"/>
                <w:b/>
                <w:bCs/>
                <w:sz w:val="21"/>
                <w:szCs w:val="21"/>
                <w:highlight w:val="none"/>
                <w:vertAlign w:val="baseline"/>
                <w:lang w:eastAsia="zh-CN"/>
              </w:rPr>
            </w:pPr>
            <w:r>
              <w:rPr>
                <w:rFonts w:hint="eastAsia" w:ascii="宋体" w:hAnsi="宋体"/>
                <w:b/>
                <w:bCs/>
                <w:sz w:val="21"/>
                <w:szCs w:val="21"/>
                <w:highlight w:val="none"/>
                <w:vertAlign w:val="baseline"/>
                <w:lang w:eastAsia="zh-CN"/>
              </w:rPr>
              <w:t>知识要求</w:t>
            </w:r>
          </w:p>
        </w:tc>
        <w:tc>
          <w:tcPr>
            <w:tcW w:w="1421" w:type="dxa"/>
            <w:vAlign w:val="center"/>
          </w:tcPr>
          <w:p>
            <w:pPr>
              <w:snapToGrid w:val="0"/>
              <w:spacing w:line="288" w:lineRule="auto"/>
              <w:jc w:val="center"/>
              <w:rPr>
                <w:rFonts w:hint="eastAsia" w:ascii="宋体" w:hAnsi="宋体" w:eastAsiaTheme="minorEastAsia"/>
                <w:b/>
                <w:bCs/>
                <w:sz w:val="21"/>
                <w:szCs w:val="21"/>
                <w:highlight w:val="none"/>
                <w:vertAlign w:val="baseline"/>
                <w:lang w:eastAsia="zh-CN"/>
              </w:rPr>
            </w:pPr>
            <w:r>
              <w:rPr>
                <w:rFonts w:hint="eastAsia" w:ascii="宋体" w:hAnsi="宋体"/>
                <w:b/>
                <w:bCs/>
                <w:sz w:val="21"/>
                <w:szCs w:val="21"/>
                <w:highlight w:val="none"/>
                <w:vertAlign w:val="baseline"/>
                <w:lang w:eastAsia="zh-CN"/>
              </w:rPr>
              <w:t>项目（综合运用）</w:t>
            </w:r>
          </w:p>
        </w:tc>
        <w:tc>
          <w:tcPr>
            <w:tcW w:w="1421" w:type="dxa"/>
            <w:vAlign w:val="center"/>
          </w:tcPr>
          <w:p>
            <w:pPr>
              <w:snapToGrid w:val="0"/>
              <w:spacing w:line="288" w:lineRule="auto"/>
              <w:jc w:val="center"/>
              <w:rPr>
                <w:rFonts w:hint="eastAsia" w:ascii="宋体" w:hAnsi="宋体" w:eastAsiaTheme="minorEastAsia"/>
                <w:b/>
                <w:bCs/>
                <w:sz w:val="21"/>
                <w:szCs w:val="21"/>
                <w:highlight w:val="none"/>
                <w:vertAlign w:val="baseline"/>
                <w:lang w:eastAsia="zh-CN"/>
              </w:rPr>
            </w:pPr>
            <w:r>
              <w:rPr>
                <w:rFonts w:hint="eastAsia" w:ascii="宋体" w:hAnsi="宋体"/>
                <w:b/>
                <w:bCs/>
                <w:sz w:val="21"/>
                <w:szCs w:val="21"/>
                <w:highlight w:val="none"/>
                <w:vertAlign w:val="baseline"/>
                <w:lang w:eastAsia="zh-CN"/>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numPr>
                <w:ilvl w:val="0"/>
                <w:numId w:val="1"/>
              </w:numPr>
              <w:snapToGrid w:val="0"/>
              <w:spacing w:line="288" w:lineRule="auto"/>
              <w:jc w:val="both"/>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讲解与案例分析</w:t>
            </w:r>
          </w:p>
          <w:p>
            <w:pPr>
              <w:numPr>
                <w:ilvl w:val="0"/>
                <w:numId w:val="0"/>
              </w:numPr>
              <w:snapToGrid w:val="0"/>
              <w:spacing w:line="288" w:lineRule="auto"/>
              <w:jc w:val="center"/>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24课时</w:t>
            </w:r>
          </w:p>
        </w:tc>
        <w:tc>
          <w:tcPr>
            <w:tcW w:w="1228" w:type="dxa"/>
            <w:vAlign w:val="center"/>
          </w:tcPr>
          <w:p>
            <w:pPr>
              <w:snapToGrid w:val="0"/>
              <w:spacing w:line="288" w:lineRule="auto"/>
              <w:jc w:val="both"/>
              <w:rPr>
                <w:rFonts w:hint="eastAsia" w:ascii="宋体" w:hAnsi="宋体" w:eastAsiaTheme="minorEastAsia"/>
                <w:sz w:val="21"/>
                <w:szCs w:val="21"/>
                <w:highlight w:val="none"/>
                <w:vertAlign w:val="baseline"/>
                <w:lang w:eastAsia="zh-CN"/>
              </w:rPr>
            </w:pPr>
            <w:r>
              <w:rPr>
                <w:rFonts w:hint="eastAsia" w:ascii="宋体" w:hAnsi="宋体" w:eastAsiaTheme="minorEastAsia"/>
                <w:sz w:val="21"/>
                <w:szCs w:val="21"/>
                <w:highlight w:val="none"/>
                <w:vertAlign w:val="baseline"/>
                <w:lang w:eastAsia="zh-CN"/>
              </w:rPr>
              <w:t>介绍数据新闻这一新型的新闻报道形态以及独立完成数据新闻制作的过程</w:t>
            </w:r>
          </w:p>
        </w:tc>
        <w:tc>
          <w:tcPr>
            <w:tcW w:w="1612" w:type="dxa"/>
            <w:vAlign w:val="center"/>
          </w:tcPr>
          <w:p>
            <w:pPr>
              <w:numPr>
                <w:ilvl w:val="0"/>
                <w:numId w:val="2"/>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掌握公开发表数据的搜集与未公开发表数据的采集方法；</w:t>
            </w:r>
          </w:p>
          <w:p>
            <w:pPr>
              <w:numPr>
                <w:ilvl w:val="0"/>
                <w:numId w:val="2"/>
              </w:numPr>
              <w:snapToGrid w:val="0"/>
              <w:spacing w:line="288" w:lineRule="auto"/>
              <w:jc w:val="both"/>
              <w:rPr>
                <w:rFonts w:hint="eastAsia" w:ascii="宋体" w:hAnsi="宋体"/>
                <w:sz w:val="21"/>
                <w:szCs w:val="21"/>
                <w:highlight w:val="none"/>
                <w:vertAlign w:val="baseline"/>
              </w:rPr>
            </w:pPr>
            <w:r>
              <w:rPr>
                <w:rFonts w:hint="eastAsia" w:ascii="宋体" w:hAnsi="宋体"/>
                <w:sz w:val="21"/>
                <w:szCs w:val="21"/>
                <w:highlight w:val="none"/>
                <w:vertAlign w:val="baseline"/>
                <w:lang w:eastAsia="zh-CN"/>
              </w:rPr>
              <w:t>能运用</w:t>
            </w:r>
            <w:r>
              <w:rPr>
                <w:rFonts w:hint="eastAsia" w:ascii="宋体" w:hAnsi="宋体"/>
                <w:sz w:val="21"/>
                <w:szCs w:val="21"/>
                <w:highlight w:val="none"/>
                <w:vertAlign w:val="baseline"/>
              </w:rPr>
              <w:t>SPSS统计</w:t>
            </w:r>
            <w:r>
              <w:rPr>
                <w:rFonts w:hint="eastAsia" w:ascii="宋体" w:hAnsi="宋体"/>
                <w:sz w:val="21"/>
                <w:szCs w:val="21"/>
                <w:highlight w:val="none"/>
                <w:vertAlign w:val="baseline"/>
                <w:lang w:eastAsia="zh-CN"/>
              </w:rPr>
              <w:t>软件对数据进行清理与分析；</w:t>
            </w:r>
          </w:p>
          <w:p>
            <w:pPr>
              <w:numPr>
                <w:ilvl w:val="0"/>
                <w:numId w:val="2"/>
              </w:numPr>
              <w:snapToGrid w:val="0"/>
              <w:spacing w:line="288" w:lineRule="auto"/>
              <w:jc w:val="both"/>
              <w:rPr>
                <w:rFonts w:hint="eastAsia" w:ascii="宋体" w:hAnsi="宋体"/>
                <w:sz w:val="21"/>
                <w:szCs w:val="21"/>
                <w:highlight w:val="none"/>
                <w:vertAlign w:val="baseline"/>
              </w:rPr>
            </w:pPr>
            <w:r>
              <w:rPr>
                <w:rFonts w:hint="eastAsia" w:ascii="宋体" w:hAnsi="宋体"/>
                <w:sz w:val="21"/>
                <w:szCs w:val="21"/>
                <w:highlight w:val="none"/>
                <w:vertAlign w:val="baseline"/>
                <w:lang w:eastAsia="zh-CN"/>
              </w:rPr>
              <w:t>能综合获取的数据资料构思新闻报道；</w:t>
            </w:r>
          </w:p>
          <w:p>
            <w:pPr>
              <w:numPr>
                <w:ilvl w:val="0"/>
                <w:numId w:val="2"/>
              </w:numPr>
              <w:snapToGrid w:val="0"/>
              <w:spacing w:line="288" w:lineRule="auto"/>
              <w:jc w:val="both"/>
              <w:rPr>
                <w:rFonts w:hint="eastAsia" w:ascii="宋体" w:hAnsi="宋体"/>
                <w:sz w:val="21"/>
                <w:szCs w:val="21"/>
                <w:highlight w:val="none"/>
                <w:vertAlign w:val="baseline"/>
              </w:rPr>
            </w:pPr>
            <w:r>
              <w:rPr>
                <w:rFonts w:hint="eastAsia" w:ascii="宋体" w:hAnsi="宋体"/>
                <w:sz w:val="21"/>
                <w:szCs w:val="21"/>
                <w:highlight w:val="none"/>
                <w:vertAlign w:val="baseline"/>
              </w:rPr>
              <w:t>掌握信息图表的设计和制作</w:t>
            </w:r>
            <w:r>
              <w:rPr>
                <w:rFonts w:hint="eastAsia" w:ascii="宋体" w:hAnsi="宋体"/>
                <w:sz w:val="21"/>
                <w:szCs w:val="21"/>
                <w:highlight w:val="none"/>
                <w:vertAlign w:val="baseline"/>
                <w:lang w:eastAsia="zh-CN"/>
              </w:rPr>
              <w:t>；</w:t>
            </w:r>
          </w:p>
          <w:p>
            <w:pPr>
              <w:numPr>
                <w:ilvl w:val="0"/>
                <w:numId w:val="2"/>
              </w:numPr>
              <w:snapToGrid w:val="0"/>
              <w:spacing w:line="288" w:lineRule="auto"/>
              <w:jc w:val="both"/>
              <w:rPr>
                <w:rFonts w:hint="eastAsia" w:ascii="宋体" w:hAnsi="宋体"/>
                <w:sz w:val="21"/>
                <w:szCs w:val="21"/>
                <w:highlight w:val="none"/>
                <w:vertAlign w:val="baseline"/>
              </w:rPr>
            </w:pPr>
            <w:r>
              <w:rPr>
                <w:rFonts w:hint="eastAsia" w:ascii="宋体" w:hAnsi="宋体"/>
                <w:sz w:val="21"/>
                <w:szCs w:val="21"/>
                <w:highlight w:val="none"/>
                <w:vertAlign w:val="baseline"/>
                <w:lang w:eastAsia="zh-CN"/>
              </w:rPr>
              <w:t>掌握</w:t>
            </w:r>
            <w:r>
              <w:rPr>
                <w:rFonts w:hint="eastAsia" w:ascii="宋体" w:hAnsi="宋体"/>
                <w:sz w:val="21"/>
                <w:szCs w:val="21"/>
                <w:highlight w:val="none"/>
                <w:vertAlign w:val="baseline"/>
                <w:lang w:val="en-US" w:eastAsia="zh-CN"/>
              </w:rPr>
              <w:t>Tableau数据可视化操作。</w:t>
            </w:r>
          </w:p>
          <w:p>
            <w:pPr>
              <w:numPr>
                <w:ilvl w:val="0"/>
                <w:numId w:val="0"/>
              </w:numPr>
              <w:snapToGrid w:val="0"/>
              <w:spacing w:line="288" w:lineRule="auto"/>
              <w:jc w:val="both"/>
              <w:rPr>
                <w:rFonts w:hint="eastAsia" w:ascii="宋体" w:hAnsi="宋体"/>
                <w:sz w:val="21"/>
                <w:szCs w:val="21"/>
                <w:highlight w:val="none"/>
                <w:vertAlign w:val="baseline"/>
              </w:rPr>
            </w:pPr>
          </w:p>
          <w:p>
            <w:pPr>
              <w:numPr>
                <w:ilvl w:val="0"/>
                <w:numId w:val="0"/>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重点与难点：（</w:t>
            </w:r>
            <w:r>
              <w:rPr>
                <w:rFonts w:hint="eastAsia" w:ascii="宋体" w:hAnsi="宋体"/>
                <w:sz w:val="21"/>
                <w:szCs w:val="21"/>
                <w:highlight w:val="none"/>
                <w:vertAlign w:val="baseline"/>
                <w:lang w:val="en-US" w:eastAsia="zh-CN"/>
              </w:rPr>
              <w:t>1</w:t>
            </w:r>
            <w:r>
              <w:rPr>
                <w:rFonts w:hint="eastAsia" w:ascii="宋体" w:hAnsi="宋体"/>
                <w:sz w:val="21"/>
                <w:szCs w:val="21"/>
                <w:highlight w:val="none"/>
                <w:vertAlign w:val="baseline"/>
                <w:lang w:eastAsia="zh-CN"/>
              </w:rPr>
              <w:t>）掌握数据分析的能力；</w:t>
            </w:r>
          </w:p>
          <w:p>
            <w:pPr>
              <w:numPr>
                <w:ilvl w:val="0"/>
                <w:numId w:val="0"/>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w:t>
            </w:r>
            <w:r>
              <w:rPr>
                <w:rFonts w:hint="eastAsia" w:ascii="宋体" w:hAnsi="宋体"/>
                <w:sz w:val="21"/>
                <w:szCs w:val="21"/>
                <w:highlight w:val="none"/>
                <w:vertAlign w:val="baseline"/>
                <w:lang w:val="en-US" w:eastAsia="zh-CN"/>
              </w:rPr>
              <w:t>2</w:t>
            </w:r>
            <w:r>
              <w:rPr>
                <w:rFonts w:hint="eastAsia" w:ascii="宋体" w:hAnsi="宋体"/>
                <w:sz w:val="21"/>
                <w:szCs w:val="21"/>
                <w:highlight w:val="none"/>
                <w:vertAlign w:val="baseline"/>
                <w:lang w:eastAsia="zh-CN"/>
              </w:rPr>
              <w:t>）掌握数据可视化报道的能力。</w:t>
            </w:r>
          </w:p>
        </w:tc>
        <w:tc>
          <w:tcPr>
            <w:tcW w:w="1420" w:type="dxa"/>
            <w:vAlign w:val="center"/>
          </w:tcPr>
          <w:p>
            <w:pPr>
              <w:numPr>
                <w:ilvl w:val="0"/>
                <w:numId w:val="3"/>
              </w:numPr>
              <w:snapToGrid w:val="0"/>
              <w:spacing w:line="288" w:lineRule="auto"/>
              <w:jc w:val="both"/>
              <w:rPr>
                <w:rFonts w:ascii="宋体" w:hAnsi="宋体"/>
                <w:sz w:val="21"/>
                <w:szCs w:val="21"/>
                <w:highlight w:val="none"/>
                <w:vertAlign w:val="baseline"/>
              </w:rPr>
            </w:pPr>
            <w:r>
              <w:rPr>
                <w:rFonts w:hint="eastAsia" w:ascii="宋体" w:hAnsi="宋体"/>
                <w:sz w:val="21"/>
                <w:szCs w:val="21"/>
                <w:highlight w:val="none"/>
                <w:vertAlign w:val="baseline"/>
                <w:lang w:eastAsia="zh-CN"/>
              </w:rPr>
              <w:t>理解</w:t>
            </w:r>
            <w:r>
              <w:rPr>
                <w:rFonts w:hint="eastAsia" w:ascii="宋体" w:hAnsi="宋体"/>
                <w:sz w:val="21"/>
                <w:szCs w:val="21"/>
                <w:highlight w:val="none"/>
                <w:vertAlign w:val="baseline"/>
              </w:rPr>
              <w:t>数据与数据新闻</w:t>
            </w:r>
            <w:r>
              <w:rPr>
                <w:rFonts w:hint="eastAsia" w:ascii="宋体" w:hAnsi="宋体"/>
                <w:sz w:val="21"/>
                <w:szCs w:val="21"/>
                <w:highlight w:val="none"/>
                <w:vertAlign w:val="baseline"/>
                <w:lang w:eastAsia="zh-CN"/>
              </w:rPr>
              <w:t>的内涵，</w:t>
            </w:r>
            <w:r>
              <w:rPr>
                <w:rFonts w:hint="eastAsia" w:ascii="宋体" w:hAnsi="宋体"/>
                <w:sz w:val="21"/>
                <w:szCs w:val="21"/>
                <w:highlight w:val="none"/>
                <w:vertAlign w:val="baseline"/>
              </w:rPr>
              <w:t>建立对数据的基本概念</w:t>
            </w:r>
            <w:r>
              <w:rPr>
                <w:rFonts w:hint="eastAsia" w:ascii="宋体" w:hAnsi="宋体"/>
                <w:sz w:val="21"/>
                <w:szCs w:val="21"/>
                <w:highlight w:val="none"/>
                <w:vertAlign w:val="baseline"/>
                <w:lang w:eastAsia="zh-CN"/>
              </w:rPr>
              <w:t>；</w:t>
            </w:r>
          </w:p>
          <w:p>
            <w:pPr>
              <w:numPr>
                <w:ilvl w:val="0"/>
                <w:numId w:val="3"/>
              </w:numPr>
              <w:snapToGrid w:val="0"/>
              <w:spacing w:line="288" w:lineRule="auto"/>
              <w:jc w:val="both"/>
              <w:rPr>
                <w:rFonts w:ascii="宋体" w:hAnsi="宋体"/>
                <w:sz w:val="21"/>
                <w:szCs w:val="21"/>
                <w:highlight w:val="none"/>
                <w:vertAlign w:val="baseline"/>
              </w:rPr>
            </w:pPr>
            <w:r>
              <w:rPr>
                <w:rFonts w:hint="eastAsia" w:ascii="宋体" w:hAnsi="宋体"/>
                <w:sz w:val="21"/>
                <w:szCs w:val="21"/>
                <w:highlight w:val="none"/>
                <w:vertAlign w:val="baseline"/>
                <w:lang w:eastAsia="zh-CN"/>
              </w:rPr>
              <w:t>知道数据新闻的</w:t>
            </w:r>
            <w:r>
              <w:rPr>
                <w:rFonts w:hint="eastAsia" w:ascii="宋体" w:hAnsi="宋体"/>
                <w:sz w:val="21"/>
                <w:szCs w:val="21"/>
                <w:highlight w:val="none"/>
                <w:vertAlign w:val="baseline"/>
              </w:rPr>
              <w:t>基本特征和构成要素，了解数据新闻与精确新闻报道的区别与联系</w:t>
            </w:r>
            <w:r>
              <w:rPr>
                <w:rFonts w:hint="eastAsia" w:ascii="宋体" w:hAnsi="宋体"/>
                <w:sz w:val="21"/>
                <w:szCs w:val="21"/>
                <w:highlight w:val="none"/>
                <w:vertAlign w:val="baseline"/>
                <w:lang w:eastAsia="zh-CN"/>
              </w:rPr>
              <w:t>；</w:t>
            </w:r>
          </w:p>
          <w:p>
            <w:pPr>
              <w:numPr>
                <w:ilvl w:val="0"/>
                <w:numId w:val="3"/>
              </w:numPr>
              <w:snapToGrid w:val="0"/>
              <w:spacing w:line="288" w:lineRule="auto"/>
              <w:jc w:val="both"/>
              <w:rPr>
                <w:rFonts w:ascii="宋体" w:hAnsi="宋体"/>
                <w:sz w:val="21"/>
                <w:szCs w:val="21"/>
                <w:highlight w:val="none"/>
                <w:vertAlign w:val="baseline"/>
              </w:rPr>
            </w:pPr>
            <w:r>
              <w:rPr>
                <w:rFonts w:hint="eastAsia" w:ascii="宋体" w:hAnsi="宋体"/>
                <w:sz w:val="21"/>
                <w:szCs w:val="21"/>
                <w:highlight w:val="none"/>
                <w:vertAlign w:val="baseline"/>
                <w:lang w:eastAsia="zh-CN"/>
              </w:rPr>
              <w:t>知道</w:t>
            </w:r>
            <w:r>
              <w:rPr>
                <w:rFonts w:hint="eastAsia" w:ascii="宋体" w:hAnsi="宋体"/>
                <w:sz w:val="21"/>
                <w:szCs w:val="21"/>
                <w:highlight w:val="none"/>
                <w:vertAlign w:val="baseline"/>
              </w:rPr>
              <w:t>统计学基础知识</w:t>
            </w:r>
            <w:r>
              <w:rPr>
                <w:rFonts w:hint="eastAsia" w:ascii="宋体" w:hAnsi="宋体"/>
                <w:sz w:val="21"/>
                <w:szCs w:val="21"/>
                <w:highlight w:val="none"/>
                <w:vertAlign w:val="baseline"/>
                <w:lang w:eastAsia="zh-CN"/>
              </w:rPr>
              <w:t>。</w:t>
            </w:r>
          </w:p>
          <w:p>
            <w:pPr>
              <w:widowControl w:val="0"/>
              <w:numPr>
                <w:ilvl w:val="0"/>
                <w:numId w:val="0"/>
              </w:numPr>
              <w:snapToGrid w:val="0"/>
              <w:spacing w:line="288" w:lineRule="auto"/>
              <w:jc w:val="both"/>
              <w:rPr>
                <w:rFonts w:hint="eastAsia" w:ascii="宋体" w:hAnsi="宋体"/>
                <w:sz w:val="21"/>
                <w:szCs w:val="21"/>
                <w:highlight w:val="none"/>
                <w:vertAlign w:val="baseline"/>
                <w:lang w:eastAsia="zh-CN"/>
              </w:rPr>
            </w:pPr>
          </w:p>
          <w:p>
            <w:pPr>
              <w:widowControl w:val="0"/>
              <w:numPr>
                <w:ilvl w:val="0"/>
                <w:numId w:val="0"/>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重点与难点：熟悉数据与统计学基础知识。</w:t>
            </w:r>
          </w:p>
          <w:p>
            <w:pPr>
              <w:widowControl w:val="0"/>
              <w:numPr>
                <w:ilvl w:val="0"/>
                <w:numId w:val="0"/>
              </w:numPr>
              <w:snapToGrid w:val="0"/>
              <w:spacing w:line="288" w:lineRule="auto"/>
              <w:jc w:val="both"/>
              <w:rPr>
                <w:rFonts w:hint="eastAsia" w:ascii="宋体" w:hAnsi="宋体"/>
                <w:sz w:val="21"/>
                <w:szCs w:val="21"/>
                <w:highlight w:val="none"/>
                <w:vertAlign w:val="baseline"/>
                <w:lang w:eastAsia="zh-CN"/>
              </w:rPr>
            </w:pPr>
          </w:p>
        </w:tc>
        <w:tc>
          <w:tcPr>
            <w:tcW w:w="1421" w:type="dxa"/>
            <w:vAlign w:val="center"/>
          </w:tcPr>
          <w:p>
            <w:pPr>
              <w:snapToGrid w:val="0"/>
              <w:spacing w:line="288" w:lineRule="auto"/>
              <w:jc w:val="both"/>
              <w:rPr>
                <w:rFonts w:hint="eastAsia" w:ascii="宋体" w:hAnsi="宋体" w:eastAsiaTheme="minorEastAsia"/>
                <w:sz w:val="21"/>
                <w:szCs w:val="21"/>
                <w:highlight w:val="none"/>
                <w:vertAlign w:val="baseline"/>
                <w:lang w:eastAsia="zh-CN"/>
              </w:rPr>
            </w:pPr>
            <w:r>
              <w:rPr>
                <w:rFonts w:hint="eastAsia" w:ascii="宋体" w:hAnsi="宋体"/>
                <w:sz w:val="21"/>
                <w:szCs w:val="21"/>
                <w:highlight w:val="none"/>
                <w:vertAlign w:val="baseline"/>
                <w:lang w:eastAsia="zh-CN"/>
              </w:rPr>
              <w:t>学生通过所学知识，结合自身的兴趣点进行数据新闻选题</w:t>
            </w:r>
            <w:r>
              <w:rPr>
                <w:rFonts w:hint="eastAsia"/>
                <w:sz w:val="21"/>
                <w:szCs w:val="21"/>
                <w:highlight w:val="none"/>
              </w:rPr>
              <w:t>，</w:t>
            </w:r>
            <w:r>
              <w:rPr>
                <w:rFonts w:hint="eastAsia"/>
                <w:sz w:val="21"/>
                <w:szCs w:val="21"/>
                <w:highlight w:val="none"/>
                <w:lang w:eastAsia="zh-CN"/>
              </w:rPr>
              <w:t>搜集数据资料，勾画</w:t>
            </w:r>
            <w:r>
              <w:rPr>
                <w:rFonts w:hint="eastAsia"/>
                <w:sz w:val="21"/>
                <w:szCs w:val="21"/>
                <w:highlight w:val="none"/>
              </w:rPr>
              <w:t>草图，</w:t>
            </w:r>
            <w:r>
              <w:rPr>
                <w:rFonts w:hint="eastAsia"/>
                <w:sz w:val="21"/>
                <w:szCs w:val="21"/>
                <w:highlight w:val="none"/>
                <w:lang w:eastAsia="zh-CN"/>
              </w:rPr>
              <w:t>构造故事，</w:t>
            </w:r>
            <w:r>
              <w:rPr>
                <w:rFonts w:hint="eastAsia"/>
                <w:sz w:val="21"/>
                <w:szCs w:val="21"/>
                <w:highlight w:val="none"/>
              </w:rPr>
              <w:t>确定选题和数据新闻的逻辑关系</w:t>
            </w:r>
            <w:r>
              <w:rPr>
                <w:rFonts w:hint="eastAsia"/>
                <w:sz w:val="21"/>
                <w:szCs w:val="21"/>
                <w:highlight w:val="none"/>
                <w:lang w:eastAsia="zh-CN"/>
              </w:rPr>
              <w:t>。</w:t>
            </w:r>
          </w:p>
        </w:tc>
        <w:tc>
          <w:tcPr>
            <w:tcW w:w="1421" w:type="dxa"/>
            <w:vAlign w:val="center"/>
          </w:tcPr>
          <w:p>
            <w:pPr>
              <w:numPr>
                <w:ilvl w:val="0"/>
                <w:numId w:val="4"/>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课堂表现，无迟到早退、无故旷课现象，课堂秩序及互动良好；</w:t>
            </w:r>
          </w:p>
          <w:p>
            <w:pPr>
              <w:numPr>
                <w:ilvl w:val="0"/>
                <w:numId w:val="4"/>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数据新闻选题合理，数据可得性强，数据与新闻报道具有较强的逻辑性。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numPr>
                <w:ilvl w:val="0"/>
                <w:numId w:val="5"/>
              </w:numPr>
              <w:snapToGrid w:val="0"/>
              <w:spacing w:line="288" w:lineRule="auto"/>
              <w:jc w:val="both"/>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数据新闻选题报告与作品讲评</w:t>
            </w:r>
          </w:p>
          <w:p>
            <w:pPr>
              <w:numPr>
                <w:ilvl w:val="0"/>
                <w:numId w:val="0"/>
              </w:numPr>
              <w:snapToGrid w:val="0"/>
              <w:spacing w:line="288" w:lineRule="auto"/>
              <w:jc w:val="center"/>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8课时</w:t>
            </w:r>
          </w:p>
        </w:tc>
        <w:tc>
          <w:tcPr>
            <w:tcW w:w="1228" w:type="dxa"/>
            <w:vAlign w:val="center"/>
          </w:tcPr>
          <w:p>
            <w:p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w:t>
            </w:r>
            <w:r>
              <w:rPr>
                <w:rFonts w:hint="eastAsia" w:ascii="宋体" w:hAnsi="宋体"/>
                <w:sz w:val="21"/>
                <w:szCs w:val="21"/>
                <w:highlight w:val="none"/>
                <w:vertAlign w:val="baseline"/>
                <w:lang w:val="en-US" w:eastAsia="zh-CN"/>
              </w:rPr>
              <w:t>1</w:t>
            </w:r>
            <w:r>
              <w:rPr>
                <w:rFonts w:hint="eastAsia" w:ascii="宋体" w:hAnsi="宋体"/>
                <w:sz w:val="21"/>
                <w:szCs w:val="21"/>
                <w:highlight w:val="none"/>
                <w:vertAlign w:val="baseline"/>
                <w:lang w:eastAsia="zh-CN"/>
              </w:rPr>
              <w:t>）组织学生按小组进行数据新闻选题汇报；</w:t>
            </w:r>
          </w:p>
          <w:p>
            <w:p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w:t>
            </w:r>
            <w:r>
              <w:rPr>
                <w:rFonts w:hint="eastAsia" w:ascii="宋体" w:hAnsi="宋体"/>
                <w:sz w:val="21"/>
                <w:szCs w:val="21"/>
                <w:highlight w:val="none"/>
                <w:vertAlign w:val="baseline"/>
                <w:lang w:val="en-US" w:eastAsia="zh-CN"/>
              </w:rPr>
              <w:t>2</w:t>
            </w:r>
            <w:r>
              <w:rPr>
                <w:rFonts w:hint="eastAsia" w:ascii="宋体" w:hAnsi="宋体"/>
                <w:sz w:val="21"/>
                <w:szCs w:val="21"/>
                <w:highlight w:val="none"/>
                <w:vertAlign w:val="baseline"/>
                <w:lang w:eastAsia="zh-CN"/>
              </w:rPr>
              <w:t>）对汇报小组数据新闻作品进行讲评；</w:t>
            </w:r>
          </w:p>
          <w:p>
            <w:p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w:t>
            </w:r>
            <w:r>
              <w:rPr>
                <w:rFonts w:hint="eastAsia" w:ascii="宋体" w:hAnsi="宋体"/>
                <w:sz w:val="21"/>
                <w:szCs w:val="21"/>
                <w:highlight w:val="none"/>
                <w:vertAlign w:val="baseline"/>
                <w:lang w:val="en-US" w:eastAsia="zh-CN"/>
              </w:rPr>
              <w:t>3</w:t>
            </w:r>
            <w:r>
              <w:rPr>
                <w:rFonts w:hint="eastAsia" w:ascii="宋体" w:hAnsi="宋体"/>
                <w:sz w:val="21"/>
                <w:szCs w:val="21"/>
                <w:highlight w:val="none"/>
                <w:vertAlign w:val="baseline"/>
                <w:lang w:eastAsia="zh-CN"/>
              </w:rPr>
              <w:t>）组织其他小组学生就汇报小组的综合表现进行评价。</w:t>
            </w:r>
          </w:p>
        </w:tc>
        <w:tc>
          <w:tcPr>
            <w:tcW w:w="1612" w:type="dxa"/>
            <w:vAlign w:val="center"/>
          </w:tcPr>
          <w:p>
            <w:pPr>
              <w:snapToGrid w:val="0"/>
              <w:spacing w:line="288" w:lineRule="auto"/>
              <w:jc w:val="both"/>
              <w:rPr>
                <w:rFonts w:hint="eastAsia" w:ascii="宋体" w:hAnsi="宋体" w:eastAsiaTheme="minorEastAsia"/>
                <w:sz w:val="21"/>
                <w:szCs w:val="21"/>
                <w:highlight w:val="none"/>
                <w:vertAlign w:val="baseline"/>
                <w:lang w:eastAsia="zh-CN"/>
              </w:rPr>
            </w:pPr>
            <w:r>
              <w:rPr>
                <w:rFonts w:hint="eastAsia" w:ascii="宋体" w:hAnsi="宋体"/>
                <w:sz w:val="21"/>
                <w:szCs w:val="21"/>
                <w:highlight w:val="none"/>
                <w:vertAlign w:val="baseline"/>
                <w:lang w:eastAsia="zh-CN"/>
              </w:rPr>
              <w:t>掌握资料展示与口头汇报的能力。</w:t>
            </w:r>
          </w:p>
        </w:tc>
        <w:tc>
          <w:tcPr>
            <w:tcW w:w="1420" w:type="dxa"/>
            <w:vAlign w:val="center"/>
          </w:tcPr>
          <w:p>
            <w:pPr>
              <w:snapToGrid w:val="0"/>
              <w:spacing w:line="288" w:lineRule="auto"/>
              <w:jc w:val="both"/>
              <w:rPr>
                <w:rFonts w:hint="eastAsia" w:ascii="宋体" w:hAnsi="宋体" w:eastAsiaTheme="minorEastAsia"/>
                <w:sz w:val="21"/>
                <w:szCs w:val="21"/>
                <w:highlight w:val="none"/>
                <w:vertAlign w:val="baseline"/>
                <w:lang w:eastAsia="zh-CN"/>
              </w:rPr>
            </w:pPr>
            <w:r>
              <w:rPr>
                <w:rFonts w:hint="eastAsia" w:ascii="宋体" w:hAnsi="宋体"/>
                <w:sz w:val="21"/>
                <w:szCs w:val="21"/>
                <w:highlight w:val="none"/>
                <w:vertAlign w:val="baseline"/>
                <w:lang w:val="en-US" w:eastAsia="zh-CN"/>
              </w:rPr>
              <w:t xml:space="preserve"> 熟知</w:t>
            </w:r>
            <w:r>
              <w:rPr>
                <w:rFonts w:hint="eastAsia" w:ascii="宋体" w:hAnsi="宋体"/>
                <w:sz w:val="21"/>
                <w:szCs w:val="21"/>
                <w:highlight w:val="none"/>
                <w:vertAlign w:val="baseline"/>
                <w:lang w:eastAsia="zh-CN"/>
              </w:rPr>
              <w:t>数据新闻制作流程。</w:t>
            </w:r>
          </w:p>
        </w:tc>
        <w:tc>
          <w:tcPr>
            <w:tcW w:w="1421" w:type="dxa"/>
            <w:vAlign w:val="center"/>
          </w:tcPr>
          <w:p>
            <w:pPr>
              <w:numPr>
                <w:ilvl w:val="0"/>
                <w:numId w:val="6"/>
              </w:numPr>
              <w:snapToGrid w:val="0"/>
              <w:spacing w:line="288" w:lineRule="auto"/>
              <w:jc w:val="both"/>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eastAsia="zh-CN"/>
              </w:rPr>
              <w:t>学生按小组进行口头报告：结合</w:t>
            </w:r>
            <w:r>
              <w:rPr>
                <w:rFonts w:hint="eastAsia" w:ascii="宋体" w:hAnsi="宋体"/>
                <w:sz w:val="21"/>
                <w:szCs w:val="21"/>
                <w:highlight w:val="none"/>
                <w:vertAlign w:val="baseline"/>
                <w:lang w:val="en-US" w:eastAsia="zh-CN"/>
              </w:rPr>
              <w:t>PPT将数据新闻选题进行汇报，对选题所需数据的采集、清理与分析进行汇报，对数据与新闻报道的逻辑性进行汇报。</w:t>
            </w:r>
          </w:p>
          <w:p>
            <w:pPr>
              <w:numPr>
                <w:ilvl w:val="0"/>
                <w:numId w:val="6"/>
              </w:numPr>
              <w:snapToGrid w:val="0"/>
              <w:spacing w:line="288" w:lineRule="auto"/>
              <w:jc w:val="both"/>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其他小组学生运用所学知识对汇报小组的选题汇报进行评价。</w:t>
            </w:r>
          </w:p>
        </w:tc>
        <w:tc>
          <w:tcPr>
            <w:tcW w:w="1421" w:type="dxa"/>
            <w:vAlign w:val="center"/>
          </w:tcPr>
          <w:p>
            <w:pPr>
              <w:numPr>
                <w:ilvl w:val="0"/>
                <w:numId w:val="7"/>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整个报告清晰地围绕着选题进行展开；</w:t>
            </w:r>
          </w:p>
          <w:p>
            <w:pPr>
              <w:numPr>
                <w:ilvl w:val="0"/>
                <w:numId w:val="7"/>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展示资料的完整性与美观性；</w:t>
            </w:r>
          </w:p>
          <w:p>
            <w:pPr>
              <w:numPr>
                <w:ilvl w:val="0"/>
                <w:numId w:val="7"/>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注重口头汇报的语言艺术与表达效果。</w:t>
            </w:r>
          </w:p>
        </w:tc>
      </w:tr>
    </w:tbl>
    <w:p>
      <w:pPr>
        <w:snapToGrid w:val="0"/>
        <w:spacing w:line="288" w:lineRule="auto"/>
        <w:ind w:firstLine="402" w:firstLineChars="200"/>
        <w:rPr>
          <w:rFonts w:hint="eastAsia" w:ascii="宋体" w:hAnsi="宋体"/>
          <w:b/>
          <w:bCs/>
          <w:sz w:val="20"/>
          <w:szCs w:val="20"/>
          <w:highlight w:val="none"/>
          <w:lang w:eastAsia="zh-CN"/>
        </w:rPr>
      </w:pPr>
    </w:p>
    <w:p>
      <w:pPr>
        <w:snapToGrid w:val="0"/>
        <w:spacing w:line="288" w:lineRule="auto"/>
        <w:rPr>
          <w:rFonts w:ascii="宋体" w:hAnsi="宋体"/>
          <w:sz w:val="20"/>
          <w:szCs w:val="20"/>
          <w:highlight w:val="none"/>
        </w:rPr>
      </w:pPr>
    </w:p>
    <w:p>
      <w:pPr>
        <w:snapToGrid w:val="0"/>
        <w:spacing w:line="288" w:lineRule="auto"/>
        <w:ind w:right="26"/>
        <w:rPr>
          <w:sz w:val="20"/>
          <w:szCs w:val="20"/>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lang w:val="en-US" w:eastAsia="zh-CN"/>
        </w:rPr>
        <w:t>七</w:t>
      </w:r>
      <w:r>
        <w:rPr>
          <w:rFonts w:hint="eastAsia" w:ascii="黑体" w:hAnsi="宋体" w:eastAsia="黑体"/>
          <w:sz w:val="24"/>
          <w:highlight w:val="none"/>
        </w:rPr>
        <w:t>、课内实验名称及基本要求（选填，适用于课内实验）</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w:t>
            </w:r>
          </w:p>
          <w:p>
            <w:pPr>
              <w:snapToGrid w:val="0"/>
              <w:jc w:val="center"/>
              <w:rPr>
                <w:rFonts w:ascii="Times New Roman" w:hAnsi="Times New Roman"/>
                <w:sz w:val="20"/>
                <w:szCs w:val="20"/>
              </w:rPr>
            </w:pPr>
            <w:r>
              <w:rPr>
                <w:rFonts w:ascii="Times New Roman" w:hAnsi="Times New Roman"/>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eastAsia="宋体" w:cs="宋体"/>
                <w:sz w:val="20"/>
                <w:szCs w:val="20"/>
                <w:lang w:val="en-US" w:eastAsia="zh-CN"/>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cs="宋体"/>
                <w:sz w:val="20"/>
                <w:szCs w:val="20"/>
                <w:lang w:eastAsia="zh-CN"/>
              </w:rPr>
              <w:t>八爪鱼采集器批量采集数据</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Times New Roman" w:hAnsi="Times New Roman"/>
                <w:sz w:val="20"/>
                <w:szCs w:val="20"/>
              </w:rPr>
            </w:pPr>
            <w:r>
              <w:rPr>
                <w:rFonts w:hint="eastAsia" w:ascii="宋体" w:hAnsi="宋体" w:cs="宋体"/>
                <w:sz w:val="20"/>
                <w:szCs w:val="20"/>
                <w:lang w:val="en-US" w:eastAsia="zh-CN"/>
              </w:rPr>
              <w:t>通过八爪鱼采集器的简易模式和自定义模式，搜索并批量采集数据，构建选题的编码薄。</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cs="宋体"/>
                <w:sz w:val="20"/>
                <w:szCs w:val="20"/>
                <w:lang w:val="en-US" w:eastAsia="zh-CN"/>
              </w:rPr>
              <w:t>2</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cs="宋体"/>
                <w:sz w:val="20"/>
                <w:szCs w:val="20"/>
                <w:lang w:eastAsia="zh-CN"/>
              </w:rPr>
              <w:t>演示类</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eastAsia="宋体" w:cs="宋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5"/>
              <w:tblW w:w="10853" w:type="dxa"/>
              <w:tblInd w:w="0" w:type="dxa"/>
              <w:tblLayout w:type="fixed"/>
              <w:tblCellMar>
                <w:top w:w="0" w:type="dxa"/>
                <w:left w:w="0" w:type="dxa"/>
                <w:bottom w:w="0" w:type="dxa"/>
                <w:right w:w="0" w:type="dxa"/>
              </w:tblCellMar>
            </w:tblPr>
            <w:tblGrid>
              <w:gridCol w:w="10853"/>
            </w:tblGrid>
            <w:tr>
              <w:tblPrEx>
                <w:tblCellMar>
                  <w:top w:w="0" w:type="dxa"/>
                  <w:left w:w="0" w:type="dxa"/>
                  <w:bottom w:w="0" w:type="dxa"/>
                  <w:right w:w="0" w:type="dxa"/>
                </w:tblCellMar>
              </w:tblPrEx>
              <w:tc>
                <w:tcPr>
                  <w:tcW w:w="10853" w:type="dxa"/>
                  <w:tcBorders>
                    <w:bottom w:val="dotted" w:color="CCCCCC" w:sz="4" w:space="0"/>
                  </w:tcBorders>
                  <w:shd w:val="clear" w:color="auto" w:fill="auto"/>
                  <w:tcMar>
                    <w:top w:w="80" w:type="dxa"/>
                    <w:left w:w="20" w:type="dxa"/>
                    <w:bottom w:w="80" w:type="dxa"/>
                    <w:right w:w="20" w:type="dxa"/>
                  </w:tcMar>
                  <w:vAlign w:val="center"/>
                </w:tcPr>
                <w:p>
                  <w:pPr>
                    <w:widowControl/>
                    <w:jc w:val="left"/>
                    <w:rPr>
                      <w:rFonts w:ascii="Times New Roman" w:hAnsi="Times New Roman"/>
                      <w:sz w:val="20"/>
                      <w:szCs w:val="20"/>
                    </w:rPr>
                  </w:pPr>
                  <w:r>
                    <w:rPr>
                      <w:rFonts w:ascii="Times New Roman" w:hAnsi="Times New Roman"/>
                      <w:sz w:val="20"/>
                      <w:szCs w:val="20"/>
                    </w:rPr>
                    <w:t>Tableau数据可</w:t>
                  </w:r>
                </w:p>
                <w:p>
                  <w:pPr>
                    <w:widowControl/>
                    <w:jc w:val="left"/>
                    <w:rPr>
                      <w:rFonts w:ascii="Times New Roman" w:hAnsi="Times New Roman" w:eastAsia="微软雅黑"/>
                      <w:color w:val="000000"/>
                      <w:sz w:val="20"/>
                      <w:szCs w:val="20"/>
                    </w:rPr>
                  </w:pPr>
                  <w:r>
                    <w:rPr>
                      <w:rFonts w:ascii="Times New Roman" w:hAnsi="Times New Roman"/>
                      <w:sz w:val="20"/>
                      <w:szCs w:val="20"/>
                    </w:rPr>
                    <w:t>视化实验</w:t>
                  </w:r>
                </w:p>
              </w:tc>
            </w:tr>
          </w:tbl>
          <w:p>
            <w:pPr>
              <w:snapToGrid w:val="0"/>
              <w:spacing w:before="156" w:beforeLines="50" w:after="156" w:afterLines="50" w:line="288" w:lineRule="auto"/>
              <w:jc w:val="center"/>
              <w:rPr>
                <w:rFonts w:ascii="Times New Roman" w:hAnsi="Times New Roman"/>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Times New Roman" w:hAnsi="Times New Roman"/>
                <w:sz w:val="20"/>
                <w:szCs w:val="20"/>
              </w:rPr>
            </w:pPr>
            <w:r>
              <w:rPr>
                <w:rFonts w:ascii="Times New Roman" w:hAnsi="Times New Roman"/>
                <w:sz w:val="20"/>
                <w:szCs w:val="20"/>
              </w:rPr>
              <w:t>通过使用Tableau Software软件帮助学生查看并理解数据，并进行可视化操作。</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Times New Roman" w:hAnsi="Times New Roman" w:eastAsia="宋体"/>
                <w:sz w:val="20"/>
                <w:szCs w:val="20"/>
                <w:lang w:eastAsia="zh-CN"/>
              </w:rPr>
            </w:pPr>
            <w:r>
              <w:rPr>
                <w:rFonts w:hint="eastAsia" w:ascii="Times New Roman" w:hAnsi="Times New Roman"/>
                <w:sz w:val="20"/>
                <w:szCs w:val="20"/>
                <w:lang w:val="en-US" w:eastAsia="zh-CN"/>
              </w:rPr>
              <w:t>6</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综合性</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eastAsia="宋体" w:cs="宋体"/>
                <w:color w:val="000000"/>
                <w:kern w:val="0"/>
                <w:sz w:val="20"/>
                <w:szCs w:val="20"/>
              </w:rPr>
              <w:sym w:font="Wingdings 2" w:char="F098"/>
            </w:r>
          </w:p>
        </w:tc>
      </w:tr>
    </w:tbl>
    <w:p>
      <w:pPr>
        <w:snapToGrid w:val="0"/>
        <w:spacing w:line="288" w:lineRule="auto"/>
        <w:ind w:right="2520" w:firstLine="400" w:firstLineChars="200"/>
        <w:rPr>
          <w:sz w:val="20"/>
          <w:szCs w:val="20"/>
          <w:highlight w:val="none"/>
        </w:rPr>
      </w:pPr>
    </w:p>
    <w:p>
      <w:pPr>
        <w:snapToGrid w:val="0"/>
        <w:spacing w:line="288" w:lineRule="auto"/>
        <w:ind w:right="2520"/>
        <w:rPr>
          <w:rFonts w:hint="eastAsia" w:ascii="黑体" w:hAnsi="宋体" w:eastAsia="黑体"/>
          <w:sz w:val="24"/>
          <w:highlight w:val="none"/>
          <w:lang w:val="en-US" w:eastAsia="zh-CN"/>
        </w:rPr>
      </w:pPr>
    </w:p>
    <w:p>
      <w:pPr>
        <w:snapToGrid w:val="0"/>
        <w:spacing w:line="288" w:lineRule="auto"/>
        <w:ind w:right="2520" w:firstLine="480" w:firstLineChars="200"/>
        <w:rPr>
          <w:sz w:val="20"/>
          <w:szCs w:val="20"/>
          <w:highlight w:val="none"/>
        </w:rPr>
      </w:pPr>
      <w:r>
        <w:rPr>
          <w:rFonts w:hint="eastAsia" w:ascii="黑体" w:hAnsi="宋体" w:eastAsia="黑体"/>
          <w:sz w:val="24"/>
          <w:highlight w:val="none"/>
          <w:lang w:val="en-US" w:eastAsia="zh-CN"/>
        </w:rPr>
        <w:t>八</w:t>
      </w:r>
      <w:r>
        <w:rPr>
          <w:rFonts w:hint="eastAsia" w:ascii="黑体" w:hAnsi="宋体" w:eastAsia="黑体"/>
          <w:sz w:val="24"/>
          <w:highlight w:val="none"/>
        </w:rPr>
        <w:t>、评价方式与成绩</w:t>
      </w:r>
      <w:r>
        <w:rPr>
          <w:rFonts w:ascii="黑体" w:hAnsi="宋体" w:eastAsia="黑体"/>
          <w:sz w:val="24"/>
          <w:highlight w:val="none"/>
        </w:rPr>
        <w:t>（必填项）</w:t>
      </w:r>
    </w:p>
    <w:tbl>
      <w:tblPr>
        <w:tblStyle w:val="5"/>
        <w:tblpPr w:leftFromText="180" w:rightFromText="180" w:vertAnchor="text" w:horzAnchor="page" w:tblpX="1645" w:tblpY="4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 w:val="21"/>
                <w:szCs w:val="21"/>
                <w:highlight w:val="none"/>
              </w:rPr>
            </w:pPr>
            <w:r>
              <w:rPr>
                <w:rFonts w:hint="eastAsia" w:ascii="宋体" w:hAnsi="宋体"/>
                <w:bCs/>
                <w:color w:val="000000"/>
                <w:sz w:val="21"/>
                <w:szCs w:val="21"/>
                <w:highlight w:val="none"/>
              </w:rPr>
              <w:t>总评构成（1+</w:t>
            </w:r>
            <w:r>
              <w:rPr>
                <w:rFonts w:ascii="宋体" w:hAnsi="宋体"/>
                <w:bCs/>
                <w:color w:val="000000"/>
                <w:sz w:val="21"/>
                <w:szCs w:val="21"/>
                <w:highlight w:val="none"/>
              </w:rPr>
              <w:t>X</w:t>
            </w:r>
            <w:r>
              <w:rPr>
                <w:rFonts w:hint="eastAsia" w:ascii="宋体" w:hAnsi="宋体"/>
                <w:bCs/>
                <w:color w:val="000000"/>
                <w:sz w:val="21"/>
                <w:szCs w:val="21"/>
                <w:highlight w:val="none"/>
              </w:rPr>
              <w:t>）</w:t>
            </w:r>
          </w:p>
        </w:tc>
        <w:tc>
          <w:tcPr>
            <w:tcW w:w="5103" w:type="dxa"/>
            <w:shd w:val="clear" w:color="auto" w:fill="auto"/>
          </w:tcPr>
          <w:p>
            <w:pPr>
              <w:snapToGrid w:val="0"/>
              <w:spacing w:beforeLines="50" w:afterLines="50"/>
              <w:jc w:val="center"/>
              <w:rPr>
                <w:rFonts w:ascii="宋体" w:hAnsi="宋体"/>
                <w:bCs/>
                <w:color w:val="000000"/>
                <w:sz w:val="21"/>
                <w:szCs w:val="21"/>
                <w:highlight w:val="none"/>
              </w:rPr>
            </w:pPr>
            <w:r>
              <w:rPr>
                <w:rFonts w:hint="eastAsia" w:ascii="宋体" w:hAnsi="宋体"/>
                <w:bCs/>
                <w:color w:val="000000"/>
                <w:sz w:val="21"/>
                <w:szCs w:val="21"/>
                <w:highlight w:val="none"/>
              </w:rPr>
              <w:t>评价方式</w:t>
            </w:r>
          </w:p>
        </w:tc>
        <w:tc>
          <w:tcPr>
            <w:tcW w:w="2127" w:type="dxa"/>
            <w:shd w:val="clear" w:color="auto" w:fill="auto"/>
          </w:tcPr>
          <w:p>
            <w:pPr>
              <w:snapToGrid w:val="0"/>
              <w:spacing w:beforeLines="50" w:afterLines="50"/>
              <w:jc w:val="center"/>
              <w:rPr>
                <w:rFonts w:ascii="宋体" w:hAnsi="宋体"/>
                <w:bCs/>
                <w:color w:val="000000"/>
                <w:sz w:val="21"/>
                <w:szCs w:val="21"/>
                <w:highlight w:val="none"/>
              </w:rPr>
            </w:pPr>
            <w:r>
              <w:rPr>
                <w:rFonts w:hint="eastAsia" w:ascii="宋体" w:hAnsi="宋体"/>
                <w:bCs/>
                <w:color w:val="000000"/>
                <w:sz w:val="21"/>
                <w:szCs w:val="21"/>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Theme="minorEastAsia"/>
                <w:bCs/>
                <w:color w:val="000000"/>
                <w:sz w:val="21"/>
                <w:szCs w:val="21"/>
                <w:highlight w:val="none"/>
                <w:lang w:val="en-US" w:eastAsia="zh-CN"/>
              </w:rPr>
            </w:pPr>
            <w:r>
              <w:rPr>
                <w:rFonts w:hint="eastAsia" w:ascii="宋体" w:hAnsi="宋体"/>
                <w:bCs/>
                <w:color w:val="000000"/>
                <w:sz w:val="21"/>
                <w:szCs w:val="21"/>
                <w:highlight w:val="none"/>
                <w:lang w:val="en-US" w:eastAsia="zh-CN"/>
              </w:rPr>
              <w:t>1</w:t>
            </w:r>
          </w:p>
        </w:tc>
        <w:tc>
          <w:tcPr>
            <w:tcW w:w="5103" w:type="dxa"/>
            <w:shd w:val="clear" w:color="auto" w:fill="auto"/>
          </w:tcPr>
          <w:p>
            <w:pPr>
              <w:snapToGrid w:val="0"/>
              <w:spacing w:beforeLines="50" w:afterLines="50"/>
              <w:jc w:val="center"/>
              <w:rPr>
                <w:rFonts w:hint="eastAsia" w:ascii="宋体" w:hAnsi="宋体" w:eastAsiaTheme="minorEastAsia"/>
                <w:bCs/>
                <w:color w:val="000000"/>
                <w:sz w:val="21"/>
                <w:szCs w:val="21"/>
                <w:highlight w:val="none"/>
                <w:lang w:eastAsia="zh-CN"/>
              </w:rPr>
            </w:pPr>
            <w:r>
              <w:rPr>
                <w:rFonts w:hint="eastAsia" w:ascii="宋体" w:hAnsi="宋体"/>
                <w:bCs/>
                <w:color w:val="000000"/>
                <w:sz w:val="21"/>
                <w:szCs w:val="21"/>
                <w:highlight w:val="none"/>
                <w:lang w:eastAsia="zh-CN"/>
              </w:rPr>
              <w:t>期末考试</w:t>
            </w:r>
          </w:p>
        </w:tc>
        <w:tc>
          <w:tcPr>
            <w:tcW w:w="2127" w:type="dxa"/>
            <w:shd w:val="clear" w:color="auto" w:fill="auto"/>
          </w:tcPr>
          <w:p>
            <w:pPr>
              <w:snapToGrid w:val="0"/>
              <w:spacing w:beforeLines="50" w:afterLines="50"/>
              <w:jc w:val="center"/>
              <w:rPr>
                <w:rFonts w:hint="default" w:ascii="宋体" w:hAnsi="宋体" w:eastAsiaTheme="minorEastAsia"/>
                <w:bCs/>
                <w:color w:val="000000"/>
                <w:sz w:val="21"/>
                <w:szCs w:val="21"/>
                <w:highlight w:val="none"/>
                <w:lang w:val="en-US" w:eastAsia="zh-CN"/>
              </w:rPr>
            </w:pPr>
            <w:r>
              <w:rPr>
                <w:rFonts w:hint="eastAsia" w:ascii="宋体" w:hAnsi="宋体"/>
                <w:bCs/>
                <w:color w:val="000000"/>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 w:val="21"/>
                <w:szCs w:val="21"/>
                <w:highlight w:val="none"/>
              </w:rPr>
            </w:pPr>
            <w:r>
              <w:rPr>
                <w:rFonts w:hint="eastAsia" w:ascii="宋体" w:hAnsi="宋体"/>
                <w:bCs/>
                <w:color w:val="000000"/>
                <w:sz w:val="21"/>
                <w:szCs w:val="21"/>
                <w:highlight w:val="none"/>
                <w:lang w:val="en-US" w:eastAsia="zh-CN"/>
              </w:rPr>
              <w:t>X</w:t>
            </w:r>
            <w:r>
              <w:rPr>
                <w:rFonts w:hint="eastAsia" w:ascii="宋体" w:hAnsi="宋体"/>
                <w:bCs/>
                <w:color w:val="000000"/>
                <w:sz w:val="21"/>
                <w:szCs w:val="21"/>
                <w:highlight w:val="none"/>
              </w:rPr>
              <w:t>1</w:t>
            </w:r>
          </w:p>
        </w:tc>
        <w:tc>
          <w:tcPr>
            <w:tcW w:w="5103" w:type="dxa"/>
            <w:shd w:val="clear" w:color="auto" w:fill="auto"/>
            <w:vAlign w:val="top"/>
          </w:tcPr>
          <w:p>
            <w:pPr>
              <w:snapToGrid w:val="0"/>
              <w:spacing w:beforeLines="50" w:afterLines="50"/>
              <w:jc w:val="center"/>
              <w:rPr>
                <w:rFonts w:hint="eastAsia" w:ascii="宋体" w:hAnsi="宋体" w:eastAsiaTheme="minorEastAsia"/>
                <w:bCs/>
                <w:color w:val="000000"/>
                <w:sz w:val="21"/>
                <w:szCs w:val="21"/>
                <w:highlight w:val="none"/>
                <w:lang w:eastAsia="zh-CN"/>
              </w:rPr>
            </w:pPr>
            <w:r>
              <w:rPr>
                <w:rFonts w:hint="eastAsia" w:ascii="宋体" w:hAnsi="宋体"/>
                <w:bCs/>
                <w:color w:val="000000"/>
                <w:sz w:val="21"/>
                <w:szCs w:val="21"/>
                <w:highlight w:val="none"/>
                <w:lang w:eastAsia="zh-CN"/>
              </w:rPr>
              <w:t>选题摘要</w:t>
            </w:r>
          </w:p>
        </w:tc>
        <w:tc>
          <w:tcPr>
            <w:tcW w:w="2127" w:type="dxa"/>
            <w:shd w:val="clear" w:color="auto" w:fill="auto"/>
          </w:tcPr>
          <w:p>
            <w:pPr>
              <w:snapToGrid w:val="0"/>
              <w:spacing w:beforeLines="50" w:afterLines="50"/>
              <w:jc w:val="center"/>
              <w:rPr>
                <w:rFonts w:hint="eastAsia" w:ascii="宋体" w:hAnsi="宋体" w:eastAsiaTheme="minorEastAsia"/>
                <w:bCs/>
                <w:color w:val="000000"/>
                <w:sz w:val="21"/>
                <w:szCs w:val="21"/>
                <w:highlight w:val="none"/>
                <w:lang w:val="en-US" w:eastAsia="zh-CN"/>
              </w:rPr>
            </w:pPr>
            <w:r>
              <w:rPr>
                <w:rFonts w:hint="eastAsia" w:ascii="宋体" w:hAnsi="宋体"/>
                <w:bCs/>
                <w:color w:val="00000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 w:val="21"/>
                <w:szCs w:val="21"/>
                <w:highlight w:val="none"/>
                <w:lang w:eastAsia="zh-CN"/>
              </w:rPr>
            </w:pPr>
            <w:r>
              <w:rPr>
                <w:rFonts w:hint="eastAsia" w:ascii="宋体" w:hAnsi="宋体"/>
                <w:bCs/>
                <w:color w:val="000000"/>
                <w:sz w:val="21"/>
                <w:szCs w:val="21"/>
                <w:highlight w:val="none"/>
              </w:rPr>
              <w:t>X</w:t>
            </w:r>
            <w:r>
              <w:rPr>
                <w:rFonts w:hint="eastAsia" w:ascii="宋体" w:hAnsi="宋体"/>
                <w:bCs/>
                <w:color w:val="000000"/>
                <w:sz w:val="21"/>
                <w:szCs w:val="21"/>
                <w:highlight w:val="none"/>
                <w:lang w:val="en-US" w:eastAsia="zh-CN"/>
              </w:rPr>
              <w:t>2</w:t>
            </w:r>
          </w:p>
        </w:tc>
        <w:tc>
          <w:tcPr>
            <w:tcW w:w="5103" w:type="dxa"/>
            <w:shd w:val="clear" w:color="auto" w:fill="auto"/>
            <w:vAlign w:val="top"/>
          </w:tcPr>
          <w:p>
            <w:pPr>
              <w:snapToGrid w:val="0"/>
              <w:spacing w:beforeLines="50" w:afterLines="50"/>
              <w:jc w:val="center"/>
              <w:rPr>
                <w:rFonts w:hint="eastAsia" w:ascii="宋体" w:hAnsi="宋体" w:eastAsiaTheme="minorEastAsia"/>
                <w:bCs/>
                <w:color w:val="000000"/>
                <w:sz w:val="21"/>
                <w:szCs w:val="21"/>
                <w:highlight w:val="none"/>
                <w:lang w:eastAsia="zh-CN"/>
              </w:rPr>
            </w:pPr>
            <w:r>
              <w:rPr>
                <w:rFonts w:hint="eastAsia" w:ascii="宋体" w:hAnsi="宋体"/>
                <w:bCs/>
                <w:color w:val="000000"/>
                <w:sz w:val="21"/>
                <w:szCs w:val="21"/>
                <w:highlight w:val="none"/>
                <w:lang w:eastAsia="zh-CN"/>
              </w:rPr>
              <w:t>课堂小组汇报</w:t>
            </w:r>
            <w:r>
              <w:rPr>
                <w:rFonts w:hint="eastAsia" w:ascii="宋体" w:hAnsi="宋体" w:eastAsia="宋体"/>
                <w:bCs/>
                <w:color w:val="000000"/>
                <w:sz w:val="21"/>
                <w:szCs w:val="21"/>
                <w:highlight w:val="none"/>
                <w:lang w:eastAsia="zh-CN"/>
              </w:rPr>
              <w:t>（</w:t>
            </w:r>
            <w:r>
              <w:rPr>
                <w:rFonts w:hint="eastAsia" w:ascii="宋体" w:hAnsi="宋体" w:eastAsia="宋体"/>
                <w:bCs/>
                <w:color w:val="000000"/>
                <w:sz w:val="21"/>
                <w:szCs w:val="21"/>
                <w:highlight w:val="none"/>
                <w:lang w:val="en-US" w:eastAsia="zh-CN"/>
              </w:rPr>
              <w:t>12-15周课堂小组汇报</w:t>
            </w:r>
            <w:r>
              <w:rPr>
                <w:rFonts w:hint="eastAsia" w:ascii="宋体" w:hAnsi="宋体" w:eastAsia="宋体"/>
                <w:bCs/>
                <w:color w:val="000000"/>
                <w:sz w:val="21"/>
                <w:szCs w:val="21"/>
                <w:highlight w:val="none"/>
                <w:lang w:eastAsia="zh-CN"/>
              </w:rPr>
              <w:t>）</w:t>
            </w:r>
          </w:p>
        </w:tc>
        <w:tc>
          <w:tcPr>
            <w:tcW w:w="2127" w:type="dxa"/>
            <w:shd w:val="clear" w:color="auto" w:fill="auto"/>
          </w:tcPr>
          <w:p>
            <w:pPr>
              <w:snapToGrid w:val="0"/>
              <w:spacing w:beforeLines="50" w:afterLines="50"/>
              <w:jc w:val="center"/>
              <w:rPr>
                <w:rFonts w:hint="eastAsia" w:ascii="宋体" w:hAnsi="宋体" w:eastAsiaTheme="minorEastAsia"/>
                <w:bCs/>
                <w:color w:val="000000"/>
                <w:sz w:val="21"/>
                <w:szCs w:val="21"/>
                <w:highlight w:val="none"/>
                <w:lang w:val="en-US" w:eastAsia="zh-CN"/>
              </w:rPr>
            </w:pPr>
            <w:r>
              <w:rPr>
                <w:rFonts w:hint="eastAsia" w:ascii="宋体" w:hAnsi="宋体"/>
                <w:bCs/>
                <w:color w:val="000000"/>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 w:val="21"/>
                <w:szCs w:val="21"/>
                <w:highlight w:val="none"/>
                <w:lang w:eastAsia="zh-CN"/>
              </w:rPr>
            </w:pPr>
            <w:r>
              <w:rPr>
                <w:rFonts w:hint="eastAsia" w:ascii="宋体" w:hAnsi="宋体"/>
                <w:bCs/>
                <w:color w:val="000000"/>
                <w:sz w:val="21"/>
                <w:szCs w:val="21"/>
                <w:highlight w:val="none"/>
              </w:rPr>
              <w:t>X</w:t>
            </w:r>
            <w:r>
              <w:rPr>
                <w:rFonts w:hint="eastAsia" w:ascii="宋体" w:hAnsi="宋体"/>
                <w:bCs/>
                <w:color w:val="000000"/>
                <w:sz w:val="21"/>
                <w:szCs w:val="21"/>
                <w:highlight w:val="none"/>
                <w:lang w:val="en-US" w:eastAsia="zh-CN"/>
              </w:rPr>
              <w:t>3</w:t>
            </w:r>
          </w:p>
        </w:tc>
        <w:tc>
          <w:tcPr>
            <w:tcW w:w="5103" w:type="dxa"/>
            <w:shd w:val="clear" w:color="auto" w:fill="auto"/>
            <w:vAlign w:val="top"/>
          </w:tcPr>
          <w:p>
            <w:pPr>
              <w:snapToGrid w:val="0"/>
              <w:spacing w:beforeLines="50" w:afterLines="50"/>
              <w:jc w:val="center"/>
              <w:rPr>
                <w:rFonts w:hint="eastAsia" w:ascii="宋体" w:hAnsi="宋体" w:eastAsiaTheme="minorEastAsia"/>
                <w:bCs/>
                <w:color w:val="000000"/>
                <w:sz w:val="21"/>
                <w:szCs w:val="21"/>
                <w:highlight w:val="none"/>
                <w:lang w:eastAsia="zh-CN"/>
              </w:rPr>
            </w:pPr>
            <w:r>
              <w:rPr>
                <w:rFonts w:hint="eastAsia" w:ascii="宋体" w:hAnsi="宋体"/>
                <w:bCs/>
                <w:color w:val="000000"/>
                <w:sz w:val="21"/>
                <w:szCs w:val="21"/>
                <w:highlight w:val="none"/>
                <w:lang w:eastAsia="zh-CN"/>
              </w:rPr>
              <w:t>数据新闻作品（以网页形式呈现，参加第五届新闻传播学院可视化新闻大赛）</w:t>
            </w:r>
          </w:p>
        </w:tc>
        <w:tc>
          <w:tcPr>
            <w:tcW w:w="2127" w:type="dxa"/>
            <w:shd w:val="clear" w:color="auto" w:fill="auto"/>
          </w:tcPr>
          <w:p>
            <w:pPr>
              <w:snapToGrid w:val="0"/>
              <w:spacing w:beforeLines="50" w:afterLines="50"/>
              <w:jc w:val="center"/>
              <w:rPr>
                <w:rFonts w:hint="eastAsia" w:ascii="宋体" w:hAnsi="宋体" w:eastAsiaTheme="minorEastAsia"/>
                <w:bCs/>
                <w:color w:val="000000"/>
                <w:sz w:val="21"/>
                <w:szCs w:val="21"/>
                <w:highlight w:val="none"/>
                <w:lang w:val="en-US" w:eastAsia="zh-CN"/>
              </w:rPr>
            </w:pPr>
            <w:r>
              <w:rPr>
                <w:rFonts w:hint="eastAsia" w:ascii="宋体" w:hAnsi="宋体"/>
                <w:bCs/>
                <w:color w:val="000000"/>
                <w:sz w:val="21"/>
                <w:szCs w:val="21"/>
                <w:highlight w:val="none"/>
                <w:lang w:val="en-US" w:eastAsia="zh-CN"/>
              </w:rPr>
              <w:t>20%</w:t>
            </w:r>
          </w:p>
        </w:tc>
      </w:tr>
    </w:tbl>
    <w:p>
      <w:pPr>
        <w:snapToGrid w:val="0"/>
        <w:spacing w:before="120" w:after="120" w:line="288" w:lineRule="auto"/>
        <w:ind w:firstLine="400" w:firstLineChars="200"/>
        <w:rPr>
          <w:rFonts w:ascii="宋体" w:hAnsi="宋体"/>
          <w:sz w:val="20"/>
          <w:szCs w:val="20"/>
          <w:highlight w:val="none"/>
        </w:rPr>
      </w:pPr>
    </w:p>
    <w:p>
      <w:pPr>
        <w:keepNext w:val="0"/>
        <w:keepLines w:val="0"/>
        <w:pageBreakBefore w:val="0"/>
        <w:numPr>
          <w:ilvl w:val="0"/>
          <w:numId w:val="8"/>
        </w:numPr>
        <w:kinsoku/>
        <w:wordWrap/>
        <w:overflowPunct/>
        <w:topLinePunct w:val="0"/>
        <w:autoSpaceDE/>
        <w:autoSpaceDN/>
        <w:bidi w:val="0"/>
        <w:snapToGrid w:val="0"/>
        <w:spacing w:line="360" w:lineRule="auto"/>
        <w:ind w:right="2520" w:firstLine="480" w:firstLineChars="200"/>
        <w:rPr>
          <w:rFonts w:hint="eastAsia" w:ascii="黑体" w:hAnsi="宋体" w:eastAsia="黑体"/>
          <w:sz w:val="24"/>
          <w:highlight w:val="none"/>
          <w:lang w:eastAsia="zh-CN"/>
        </w:rPr>
      </w:pPr>
      <w:r>
        <w:rPr>
          <w:rFonts w:hint="eastAsia" w:ascii="黑体" w:hAnsi="宋体" w:eastAsia="黑体"/>
          <w:sz w:val="24"/>
          <w:highlight w:val="none"/>
          <w:lang w:eastAsia="zh-CN"/>
        </w:rPr>
        <w:t>课程思政预期成果及成果表现形式</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lang w:eastAsia="zh-CN"/>
        </w:rPr>
      </w:pPr>
      <w:r>
        <w:rPr>
          <w:rFonts w:hint="eastAsia"/>
          <w:lang w:eastAsia="zh-CN"/>
        </w:rPr>
        <w:t>立足学科特色挖掘课程思政资源，推动社会主义核心价值观融入本课程，建设示范教学课件、教学案例和教学实践体系。将社会主义核心价值观融入到课程的教学体系中，通过国际政治经济新闻报道，帮助学生更好地理解社会主义核心价值观在现实的生活、学习与工作中的重要意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lang w:eastAsia="zh-CN"/>
        </w:rPr>
      </w:pPr>
      <w:r>
        <w:rPr>
          <w:rFonts w:hint="eastAsia"/>
          <w:lang w:eastAsia="zh-CN"/>
        </w:rPr>
        <w:t>教学案例：开展围绕“改革开放以来新中国的对外开放成就”来进行进出口贸易、对外投资、经济一体化、区域一体化等各个层面的数据新闻选题，搜集相关数据，制作以反映改革开放四十四周年成就为主题的数据新闻作品，新闻要素完整，以网页形式提交。</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sz w:val="20"/>
          <w:szCs w:val="20"/>
          <w:highlight w:val="none"/>
          <w:lang w:eastAsia="zh-CN"/>
        </w:rPr>
      </w:pPr>
      <w:r>
        <w:rPr>
          <w:rFonts w:hint="eastAsia"/>
          <w:lang w:eastAsia="zh-CN"/>
        </w:rPr>
        <w:t>通过课堂分享，增强学生的国际视野、国家荣誉感和民族自豪感，坚定学生对社会主义制度的道路自信、文化自信、制度自信和理</w:t>
      </w:r>
      <w:bookmarkStart w:id="1" w:name="_GoBack"/>
      <w:bookmarkEnd w:id="1"/>
      <w:r>
        <w:rPr>
          <w:rFonts w:hint="eastAsia"/>
          <w:lang w:eastAsia="zh-CN"/>
        </w:rPr>
        <w:t>论自信。</w:t>
      </w:r>
    </w:p>
    <w:p>
      <w:pPr>
        <w:snapToGrid w:val="0"/>
        <w:spacing w:before="120" w:after="120" w:line="288" w:lineRule="auto"/>
        <w:ind w:firstLine="400" w:firstLineChars="200"/>
        <w:rPr>
          <w:rFonts w:ascii="宋体" w:hAnsi="宋体"/>
          <w:sz w:val="20"/>
          <w:szCs w:val="20"/>
          <w:highlight w:val="none"/>
        </w:rPr>
      </w:pPr>
    </w:p>
    <w:p>
      <w:pPr>
        <w:snapToGrid w:val="0"/>
        <w:spacing w:before="120" w:after="120" w:line="288" w:lineRule="auto"/>
        <w:ind w:firstLine="400" w:firstLineChars="200"/>
        <w:rPr>
          <w:rFonts w:ascii="宋体" w:hAnsi="宋体"/>
          <w:sz w:val="20"/>
          <w:szCs w:val="20"/>
          <w:highlight w:val="none"/>
        </w:rPr>
      </w:pPr>
    </w:p>
    <w:p>
      <w:pPr>
        <w:snapToGrid w:val="0"/>
        <w:spacing w:line="360" w:lineRule="auto"/>
        <w:rPr>
          <w:rFonts w:hint="eastAsia"/>
          <w:sz w:val="28"/>
          <w:szCs w:val="28"/>
          <w:highlight w:val="none"/>
          <w:lang w:val="en-US" w:eastAsia="zh-CN"/>
        </w:rPr>
      </w:pPr>
      <w:r>
        <w:rPr>
          <w:rFonts w:hint="eastAsia"/>
          <w:sz w:val="28"/>
          <w:szCs w:val="28"/>
          <w:highlight w:val="none"/>
        </w:rPr>
        <w:t>撰写人：</w:t>
      </w:r>
      <w:r>
        <w:rPr>
          <w:rFonts w:hint="eastAsia"/>
          <w:sz w:val="28"/>
          <w:szCs w:val="28"/>
          <w:highlight w:val="none"/>
          <w:lang w:val="en-US" w:eastAsia="zh-CN"/>
        </w:rPr>
        <w:drawing>
          <wp:inline distT="0" distB="0" distL="114300" distR="114300">
            <wp:extent cx="1241425" cy="284480"/>
            <wp:effectExtent l="0" t="0" r="3175" b="7620"/>
            <wp:docPr id="3" name="图片 3" descr="9ce630959ae34f5bb1ca6a22f1e16c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e630959ae34f5bb1ca6a22f1e16cd8"/>
                    <pic:cNvPicPr>
                      <a:picLocks noChangeAspect="1"/>
                    </pic:cNvPicPr>
                  </pic:nvPicPr>
                  <pic:blipFill>
                    <a:blip r:embed="rId5"/>
                    <a:stretch>
                      <a:fillRect/>
                    </a:stretch>
                  </pic:blipFill>
                  <pic:spPr>
                    <a:xfrm>
                      <a:off x="0" y="0"/>
                      <a:ext cx="1241425" cy="284480"/>
                    </a:xfrm>
                    <a:prstGeom prst="rect">
                      <a:avLst/>
                    </a:prstGeom>
                  </pic:spPr>
                </pic:pic>
              </a:graphicData>
            </a:graphic>
          </wp:inline>
        </w:drawing>
      </w:r>
      <w:r>
        <w:rPr>
          <w:rFonts w:hint="eastAsia"/>
          <w:sz w:val="28"/>
          <w:szCs w:val="28"/>
          <w:highlight w:val="none"/>
          <w:lang w:val="en-US" w:eastAsia="zh-CN"/>
        </w:rPr>
        <w:t xml:space="preserve">          </w:t>
      </w:r>
      <w:r>
        <w:rPr>
          <w:rFonts w:hint="eastAsia"/>
          <w:sz w:val="28"/>
          <w:szCs w:val="28"/>
          <w:highlight w:val="none"/>
        </w:rPr>
        <w:t>系主任审核签名：</w:t>
      </w:r>
      <w:r>
        <w:rPr>
          <w:rFonts w:hint="eastAsia"/>
          <w:sz w:val="28"/>
          <w:szCs w:val="28"/>
          <w:highlight w:val="none"/>
          <w:lang w:val="en-US" w:eastAsia="zh-CN"/>
        </w:rPr>
        <w:drawing>
          <wp:inline distT="0" distB="0" distL="114300" distR="114300">
            <wp:extent cx="940435" cy="369570"/>
            <wp:effectExtent l="0" t="0" r="12065" b="0"/>
            <wp:docPr id="4" name="图片 4" descr="微信图片_2019090219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2190543"/>
                    <pic:cNvPicPr>
                      <a:picLocks noChangeAspect="1"/>
                    </pic:cNvPicPr>
                  </pic:nvPicPr>
                  <pic:blipFill>
                    <a:blip r:embed="rId6"/>
                    <a:stretch>
                      <a:fillRect/>
                    </a:stretch>
                  </pic:blipFill>
                  <pic:spPr>
                    <a:xfrm>
                      <a:off x="0" y="0"/>
                      <a:ext cx="940435" cy="369570"/>
                    </a:xfrm>
                    <a:prstGeom prst="rect">
                      <a:avLst/>
                    </a:prstGeom>
                  </pic:spPr>
                </pic:pic>
              </a:graphicData>
            </a:graphic>
          </wp:inline>
        </w:drawing>
      </w:r>
      <w:r>
        <w:rPr>
          <w:rFonts w:hint="eastAsia"/>
          <w:sz w:val="28"/>
          <w:szCs w:val="28"/>
          <w:highlight w:val="none"/>
          <w:lang w:val="en-US" w:eastAsia="zh-CN"/>
        </w:rPr>
        <w:t xml:space="preserve">   </w:t>
      </w:r>
    </w:p>
    <w:p>
      <w:pPr>
        <w:spacing w:line="480" w:lineRule="auto"/>
        <w:jc w:val="center"/>
        <w:rPr>
          <w:rFonts w:asciiTheme="minorEastAsia" w:hAnsiTheme="minorEastAsia"/>
          <w:b/>
          <w:sz w:val="30"/>
          <w:szCs w:val="30"/>
          <w:highlight w:val="none"/>
        </w:rPr>
      </w:pPr>
      <w:r>
        <w:rPr>
          <w:rFonts w:hint="eastAsia"/>
          <w:sz w:val="28"/>
          <w:szCs w:val="28"/>
          <w:highlight w:val="none"/>
          <w:lang w:val="en-US" w:eastAsia="zh-CN"/>
        </w:rPr>
        <w:t xml:space="preserve">                      </w:t>
      </w:r>
      <w:r>
        <w:rPr>
          <w:rFonts w:hint="eastAsia"/>
          <w:sz w:val="28"/>
          <w:szCs w:val="28"/>
          <w:highlight w:val="none"/>
        </w:rPr>
        <w:t>审核时间：</w:t>
      </w:r>
      <w:r>
        <w:rPr>
          <w:rFonts w:hint="eastAsia"/>
          <w:sz w:val="28"/>
          <w:szCs w:val="28"/>
          <w:highlight w:val="none"/>
          <w:lang w:val="en-US" w:eastAsia="zh-CN"/>
        </w:rPr>
        <w:t xml:space="preserve"> 2022.09  </w:t>
      </w:r>
    </w:p>
    <w:p>
      <w:pPr>
        <w:rPr>
          <w:highlight w:val="none"/>
        </w:rPr>
      </w:pPr>
    </w:p>
    <w:p>
      <w:pPr>
        <w:rPr>
          <w:highlight w:val="none"/>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F0ABB"/>
    <w:multiLevelType w:val="singleLevel"/>
    <w:tmpl w:val="92DF0ABB"/>
    <w:lvl w:ilvl="0" w:tentative="0">
      <w:start w:val="9"/>
      <w:numFmt w:val="chineseCounting"/>
      <w:suff w:val="nothing"/>
      <w:lvlText w:val="%1、"/>
      <w:lvlJc w:val="left"/>
      <w:rPr>
        <w:rFonts w:hint="eastAsia"/>
      </w:rPr>
    </w:lvl>
  </w:abstractNum>
  <w:abstractNum w:abstractNumId="1">
    <w:nsid w:val="59A3AD1B"/>
    <w:multiLevelType w:val="singleLevel"/>
    <w:tmpl w:val="59A3AD1B"/>
    <w:lvl w:ilvl="0" w:tentative="0">
      <w:start w:val="2"/>
      <w:numFmt w:val="decimal"/>
      <w:suff w:val="nothing"/>
      <w:lvlText w:val="%1、"/>
      <w:lvlJc w:val="left"/>
    </w:lvl>
  </w:abstractNum>
  <w:abstractNum w:abstractNumId="2">
    <w:nsid w:val="59A3AD30"/>
    <w:multiLevelType w:val="singleLevel"/>
    <w:tmpl w:val="59A3AD30"/>
    <w:lvl w:ilvl="0" w:tentative="0">
      <w:start w:val="1"/>
      <w:numFmt w:val="decimal"/>
      <w:suff w:val="nothing"/>
      <w:lvlText w:val="%1、"/>
      <w:lvlJc w:val="left"/>
    </w:lvl>
  </w:abstractNum>
  <w:abstractNum w:abstractNumId="3">
    <w:nsid w:val="59A3AFEB"/>
    <w:multiLevelType w:val="singleLevel"/>
    <w:tmpl w:val="59A3AFEB"/>
    <w:lvl w:ilvl="0" w:tentative="0">
      <w:start w:val="1"/>
      <w:numFmt w:val="decimal"/>
      <w:suff w:val="nothing"/>
      <w:lvlText w:val="（%1）"/>
      <w:lvlJc w:val="left"/>
    </w:lvl>
  </w:abstractNum>
  <w:abstractNum w:abstractNumId="4">
    <w:nsid w:val="59A3B27A"/>
    <w:multiLevelType w:val="singleLevel"/>
    <w:tmpl w:val="59A3B27A"/>
    <w:lvl w:ilvl="0" w:tentative="0">
      <w:start w:val="1"/>
      <w:numFmt w:val="decimal"/>
      <w:suff w:val="nothing"/>
      <w:lvlText w:val="（%1）"/>
      <w:lvlJc w:val="left"/>
    </w:lvl>
  </w:abstractNum>
  <w:abstractNum w:abstractNumId="5">
    <w:nsid w:val="59A3B77B"/>
    <w:multiLevelType w:val="singleLevel"/>
    <w:tmpl w:val="59A3B77B"/>
    <w:lvl w:ilvl="0" w:tentative="0">
      <w:start w:val="1"/>
      <w:numFmt w:val="decimal"/>
      <w:suff w:val="nothing"/>
      <w:lvlText w:val="（%1）"/>
      <w:lvlJc w:val="left"/>
    </w:lvl>
  </w:abstractNum>
  <w:abstractNum w:abstractNumId="6">
    <w:nsid w:val="59A3BF6F"/>
    <w:multiLevelType w:val="singleLevel"/>
    <w:tmpl w:val="59A3BF6F"/>
    <w:lvl w:ilvl="0" w:tentative="0">
      <w:start w:val="1"/>
      <w:numFmt w:val="decimal"/>
      <w:suff w:val="nothing"/>
      <w:lvlText w:val="（%1）"/>
      <w:lvlJc w:val="left"/>
    </w:lvl>
  </w:abstractNum>
  <w:abstractNum w:abstractNumId="7">
    <w:nsid w:val="59A3C525"/>
    <w:multiLevelType w:val="singleLevel"/>
    <w:tmpl w:val="59A3C525"/>
    <w:lvl w:ilvl="0" w:tentative="0">
      <w:start w:val="1"/>
      <w:numFmt w:val="decimal"/>
      <w:suff w:val="nothing"/>
      <w:lvlText w:val="（%1）"/>
      <w:lvlJc w:val="left"/>
    </w:lvl>
  </w:abstractNum>
  <w:num w:numId="1">
    <w:abstractNumId w:val="2"/>
  </w:num>
  <w:num w:numId="2">
    <w:abstractNumId w:val="4"/>
  </w:num>
  <w:num w:numId="3">
    <w:abstractNumId w:val="3"/>
  </w:num>
  <w:num w:numId="4">
    <w:abstractNumId w:val="5"/>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I4ZGQ5MTkyZTI5YWQ4NjU5NjYwZjc3ZTVkYTU2Y2U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C4C45"/>
    <w:rsid w:val="00B46F21"/>
    <w:rsid w:val="00B511A5"/>
    <w:rsid w:val="00B736A7"/>
    <w:rsid w:val="00B7651F"/>
    <w:rsid w:val="00C56E09"/>
    <w:rsid w:val="00CF096B"/>
    <w:rsid w:val="00E16D30"/>
    <w:rsid w:val="00E33169"/>
    <w:rsid w:val="00E70904"/>
    <w:rsid w:val="00EF44B1"/>
    <w:rsid w:val="00F35AA0"/>
    <w:rsid w:val="024B0C39"/>
    <w:rsid w:val="035E0FE0"/>
    <w:rsid w:val="07B1409A"/>
    <w:rsid w:val="0A8128A6"/>
    <w:rsid w:val="0BF32A1B"/>
    <w:rsid w:val="0DA81698"/>
    <w:rsid w:val="10BD2C22"/>
    <w:rsid w:val="12C83334"/>
    <w:rsid w:val="166929BB"/>
    <w:rsid w:val="19327970"/>
    <w:rsid w:val="1AB6091A"/>
    <w:rsid w:val="1DA73581"/>
    <w:rsid w:val="204C0D72"/>
    <w:rsid w:val="212A6243"/>
    <w:rsid w:val="22987C80"/>
    <w:rsid w:val="24192CCC"/>
    <w:rsid w:val="24371CA8"/>
    <w:rsid w:val="25F2608F"/>
    <w:rsid w:val="294B2F88"/>
    <w:rsid w:val="2A495706"/>
    <w:rsid w:val="340D6CD5"/>
    <w:rsid w:val="353A5FEE"/>
    <w:rsid w:val="37AF146D"/>
    <w:rsid w:val="39A66CD4"/>
    <w:rsid w:val="3CD52CE1"/>
    <w:rsid w:val="3E9C31FA"/>
    <w:rsid w:val="3EED1475"/>
    <w:rsid w:val="410F2E6A"/>
    <w:rsid w:val="42E25181"/>
    <w:rsid w:val="4430136C"/>
    <w:rsid w:val="480B3797"/>
    <w:rsid w:val="498D558C"/>
    <w:rsid w:val="4AB0382B"/>
    <w:rsid w:val="4BFA0524"/>
    <w:rsid w:val="4D5C2EBE"/>
    <w:rsid w:val="545A5DA7"/>
    <w:rsid w:val="569868B5"/>
    <w:rsid w:val="5878472A"/>
    <w:rsid w:val="59647F72"/>
    <w:rsid w:val="598D3788"/>
    <w:rsid w:val="5EF058A0"/>
    <w:rsid w:val="5FB96E25"/>
    <w:rsid w:val="610B34BF"/>
    <w:rsid w:val="611F6817"/>
    <w:rsid w:val="64E66081"/>
    <w:rsid w:val="66CA1754"/>
    <w:rsid w:val="6F1E65D4"/>
    <w:rsid w:val="6F266C86"/>
    <w:rsid w:val="6F5042C2"/>
    <w:rsid w:val="71B22FA2"/>
    <w:rsid w:val="74316312"/>
    <w:rsid w:val="780F13C8"/>
    <w:rsid w:val="799D2DFE"/>
    <w:rsid w:val="7C385448"/>
    <w:rsid w:val="7E6A35CC"/>
    <w:rsid w:val="7F750CC7"/>
    <w:rsid w:val="7FE21D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2404</Words>
  <Characters>2727</Characters>
  <Lines>13</Lines>
  <Paragraphs>3</Paragraphs>
  <TotalTime>4</TotalTime>
  <ScaleCrop>false</ScaleCrop>
  <LinksUpToDate>false</LinksUpToDate>
  <CharactersWithSpaces>2800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Adam Cai</cp:lastModifiedBy>
  <cp:lastPrinted>2019-08-31T02:52:00Z</cp:lastPrinted>
  <dcterms:modified xsi:type="dcterms:W3CDTF">2022-06-28T07:42:44Z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KSORubyTemplateID" linkTarget="0">
    <vt:lpwstr>6</vt:lpwstr>
  </property>
  <property fmtid="{D5CDD505-2E9C-101B-9397-08002B2CF9AE}" pid="4" name="ICV">
    <vt:lpwstr>F675ECDE002F4BACAC87FF14453B71FF</vt:lpwstr>
  </property>
</Properties>
</file>