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bookmarkStart w:id="1" w:name="_GoBack"/>
      <w:bookmarkEnd w:id="1"/>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【涉外商务秘书英语 2】</w:t>
      </w:r>
    </w:p>
    <w:p>
      <w:pPr>
        <w:shd w:val="clear" w:color="auto" w:fill="F5F5F5"/>
        <w:jc w:val="center"/>
        <w:textAlignment w:val="top"/>
        <w:rPr>
          <w:rFonts w:ascii="Arial" w:hAnsi="Arial" w:cs="Arial"/>
          <w:color w:val="888888"/>
          <w:kern w:val="0"/>
          <w:sz w:val="20"/>
          <w:szCs w:val="20"/>
        </w:rPr>
      </w:pPr>
      <w:r>
        <w:rPr>
          <w:rFonts w:hint="eastAsia"/>
          <w:b/>
          <w:sz w:val="28"/>
          <w:szCs w:val="30"/>
        </w:rPr>
        <w:t>【Secretary English 2】</w:t>
      </w:r>
      <w:bookmarkStart w:id="0" w:name="a2"/>
      <w:bookmarkEnd w:id="0"/>
    </w:p>
    <w:p>
      <w:pPr>
        <w:spacing w:before="156" w:beforeLines="50" w:after="156" w:afterLines="50" w:line="288" w:lineRule="auto"/>
        <w:ind w:firstLine="360" w:firstLineChars="150"/>
        <w:rPr>
          <w:b/>
          <w:color w:val="008080"/>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72" w:firstLineChars="196"/>
        <w:rPr>
          <w:color w:val="000000"/>
          <w:sz w:val="24"/>
        </w:rPr>
      </w:pPr>
      <w:r>
        <w:rPr>
          <w:b/>
          <w:bCs/>
          <w:color w:val="000000"/>
          <w:sz w:val="24"/>
        </w:rPr>
        <w:t>课程代码：</w:t>
      </w:r>
      <w:r>
        <w:rPr>
          <w:color w:val="000000"/>
          <w:sz w:val="24"/>
        </w:rPr>
        <w:t>【</w:t>
      </w:r>
      <w:r>
        <w:rPr>
          <w:rFonts w:hint="eastAsia"/>
          <w:color w:val="000000"/>
          <w:sz w:val="24"/>
        </w:rPr>
        <w:t>2030471</w:t>
      </w:r>
      <w:r>
        <w:rPr>
          <w:color w:val="000000"/>
          <w:sz w:val="24"/>
        </w:rPr>
        <w:t>】</w:t>
      </w:r>
    </w:p>
    <w:p>
      <w:pPr>
        <w:snapToGrid w:val="0"/>
        <w:spacing w:line="288" w:lineRule="auto"/>
        <w:ind w:firstLine="472" w:firstLineChars="196"/>
        <w:rPr>
          <w:color w:val="000000"/>
          <w:sz w:val="24"/>
        </w:rPr>
      </w:pPr>
      <w:r>
        <w:rPr>
          <w:b/>
          <w:bCs/>
          <w:color w:val="000000"/>
          <w:sz w:val="24"/>
        </w:rPr>
        <w:t>课程学分：</w:t>
      </w:r>
      <w:r>
        <w:rPr>
          <w:color w:val="000000"/>
          <w:sz w:val="24"/>
        </w:rPr>
        <w:t>【</w:t>
      </w:r>
      <w:r>
        <w:rPr>
          <w:rFonts w:hint="eastAsia"/>
          <w:color w:val="000000"/>
          <w:sz w:val="24"/>
        </w:rPr>
        <w:t>2.0</w:t>
      </w:r>
      <w:r>
        <w:rPr>
          <w:color w:val="000000"/>
          <w:sz w:val="24"/>
        </w:rPr>
        <w:t>】</w:t>
      </w:r>
    </w:p>
    <w:p>
      <w:pPr>
        <w:snapToGrid w:val="0"/>
        <w:spacing w:line="288" w:lineRule="auto"/>
        <w:ind w:firstLine="472" w:firstLineChars="196"/>
        <w:rPr>
          <w:color w:val="000000"/>
          <w:sz w:val="24"/>
        </w:rPr>
      </w:pPr>
      <w:r>
        <w:rPr>
          <w:b/>
          <w:bCs/>
          <w:color w:val="000000"/>
          <w:sz w:val="24"/>
        </w:rPr>
        <w:t>面向专业：</w:t>
      </w:r>
      <w:r>
        <w:rPr>
          <w:color w:val="000000"/>
          <w:sz w:val="24"/>
        </w:rPr>
        <w:t>【</w:t>
      </w:r>
      <w:r>
        <w:rPr>
          <w:rFonts w:hint="eastAsia"/>
          <w:color w:val="000000"/>
          <w:sz w:val="24"/>
        </w:rPr>
        <w:t>秘书系17级</w:t>
      </w:r>
      <w:r>
        <w:rPr>
          <w:color w:val="000000"/>
          <w:sz w:val="24"/>
        </w:rPr>
        <w:t>】</w:t>
      </w:r>
    </w:p>
    <w:p>
      <w:pPr>
        <w:snapToGrid w:val="0"/>
        <w:spacing w:line="288" w:lineRule="auto"/>
        <w:ind w:firstLine="472" w:firstLineChars="196"/>
        <w:rPr>
          <w:color w:val="000000"/>
          <w:sz w:val="24"/>
        </w:rPr>
      </w:pPr>
      <w:r>
        <w:rPr>
          <w:b/>
          <w:bCs/>
          <w:color w:val="000000"/>
          <w:sz w:val="24"/>
        </w:rPr>
        <w:t>课程性质：</w:t>
      </w:r>
      <w:r>
        <w:rPr>
          <w:color w:val="000000"/>
          <w:sz w:val="24"/>
        </w:rPr>
        <w:t>【</w:t>
      </w:r>
      <w:r>
        <w:rPr>
          <w:rFonts w:hint="eastAsia"/>
          <w:color w:val="000000"/>
          <w:sz w:val="24"/>
        </w:rPr>
        <w:t>选修</w:t>
      </w:r>
      <w:r>
        <w:rPr>
          <w:color w:val="000000"/>
          <w:sz w:val="24"/>
        </w:rPr>
        <w:t>】</w:t>
      </w:r>
    </w:p>
    <w:p>
      <w:pPr>
        <w:snapToGrid w:val="0"/>
        <w:spacing w:line="288" w:lineRule="auto"/>
        <w:ind w:firstLine="472" w:firstLineChars="196"/>
        <w:rPr>
          <w:b/>
          <w:bCs/>
          <w:color w:val="000000"/>
          <w:sz w:val="24"/>
        </w:rPr>
      </w:pPr>
      <w:r>
        <w:rPr>
          <w:b/>
          <w:bCs/>
          <w:color w:val="000000"/>
          <w:sz w:val="24"/>
        </w:rPr>
        <w:t>开课院系：</w:t>
      </w:r>
      <w:r>
        <w:rPr>
          <w:rFonts w:hint="eastAsia"/>
          <w:b/>
          <w:bCs/>
          <w:color w:val="000000"/>
          <w:sz w:val="24"/>
        </w:rPr>
        <w:t>新闻传播学院秘书系</w:t>
      </w:r>
    </w:p>
    <w:p>
      <w:pPr>
        <w:snapToGrid w:val="0"/>
        <w:spacing w:line="288" w:lineRule="auto"/>
        <w:ind w:firstLine="472" w:firstLineChars="196"/>
        <w:rPr>
          <w:b/>
          <w:bCs/>
          <w:color w:val="000000"/>
          <w:sz w:val="24"/>
        </w:rPr>
      </w:pPr>
      <w:r>
        <w:rPr>
          <w:b/>
          <w:bCs/>
          <w:color w:val="000000"/>
          <w:sz w:val="24"/>
        </w:rPr>
        <w:t>使用教材：</w:t>
      </w:r>
      <w:r>
        <w:rPr>
          <w:rFonts w:hint="eastAsia"/>
          <w:b/>
          <w:bCs/>
          <w:color w:val="000000"/>
          <w:sz w:val="24"/>
        </w:rPr>
        <w:t>《涉外秘书英语写作》，赵琳红， 华东师范大学出版社</w:t>
      </w:r>
    </w:p>
    <w:p>
      <w:pPr>
        <w:snapToGrid w:val="0"/>
        <w:spacing w:line="288" w:lineRule="auto"/>
        <w:ind w:firstLine="472" w:firstLineChars="196"/>
        <w:rPr>
          <w:b/>
          <w:bCs/>
          <w:color w:val="000000"/>
          <w:sz w:val="24"/>
        </w:rPr>
      </w:pPr>
      <w:r>
        <w:rPr>
          <w:b/>
          <w:bCs/>
          <w:color w:val="000000"/>
          <w:sz w:val="24"/>
        </w:rPr>
        <w:t>参考</w:t>
      </w:r>
      <w:r>
        <w:rPr>
          <w:rFonts w:hint="eastAsia"/>
          <w:b/>
          <w:bCs/>
          <w:color w:val="000000"/>
          <w:sz w:val="24"/>
        </w:rPr>
        <w:t>书目  《涉外商务文书》 冯修文，上海交通大学出版社</w:t>
      </w:r>
    </w:p>
    <w:p>
      <w:pPr>
        <w:ind w:firstLine="1680"/>
        <w:rPr>
          <w:b/>
          <w:bCs/>
          <w:color w:val="000000"/>
          <w:sz w:val="24"/>
        </w:rPr>
      </w:pPr>
      <w:r>
        <w:rPr>
          <w:rFonts w:hint="eastAsia"/>
          <w:b/>
          <w:bCs/>
          <w:color w:val="000000"/>
          <w:sz w:val="24"/>
        </w:rPr>
        <w:t>《商务秘书实用英语》 汤平平  中国建材工业出版社</w:t>
      </w:r>
    </w:p>
    <w:p>
      <w:pPr>
        <w:ind w:firstLine="1680"/>
        <w:rPr>
          <w:b/>
          <w:bCs/>
          <w:color w:val="000000"/>
          <w:sz w:val="24"/>
        </w:rPr>
      </w:pPr>
      <w:r>
        <w:rPr>
          <w:rFonts w:hint="eastAsia"/>
          <w:b/>
          <w:bCs/>
          <w:color w:val="000000"/>
          <w:sz w:val="24"/>
        </w:rPr>
        <w:t>&lt;</w:t>
      </w:r>
      <w:r>
        <w:rPr>
          <w:b/>
          <w:bCs/>
          <w:color w:val="000000"/>
          <w:sz w:val="24"/>
        </w:rPr>
        <w:t xml:space="preserve">Longman English for Work&gt;  Ian Badger and Sue Pedley  </w:t>
      </w:r>
    </w:p>
    <w:p>
      <w:pPr>
        <w:ind w:firstLine="1680"/>
        <w:rPr>
          <w:rFonts w:ascii="Times" w:hAnsi="Times" w:eastAsia="Times New Roman"/>
          <w:kern w:val="0"/>
          <w:sz w:val="20"/>
          <w:szCs w:val="20"/>
        </w:rPr>
      </w:pPr>
      <w:r>
        <w:rPr>
          <w:rFonts w:hint="eastAsia"/>
          <w:b/>
          <w:bCs/>
          <w:color w:val="000000"/>
          <w:sz w:val="24"/>
        </w:rPr>
        <w:t>南开大学出版社</w:t>
      </w:r>
    </w:p>
    <w:p>
      <w:pPr>
        <w:snapToGrid w:val="0"/>
        <w:spacing w:line="288" w:lineRule="auto"/>
        <w:ind w:firstLine="472" w:firstLineChars="196"/>
        <w:rPr>
          <w:b/>
          <w:bCs/>
          <w:color w:val="000000"/>
          <w:sz w:val="24"/>
        </w:rPr>
      </w:pPr>
    </w:p>
    <w:p>
      <w:pPr>
        <w:adjustRightInd w:val="0"/>
        <w:snapToGrid w:val="0"/>
        <w:spacing w:line="288" w:lineRule="auto"/>
        <w:ind w:firstLine="472" w:firstLineChars="196"/>
        <w:rPr>
          <w:color w:val="000000"/>
          <w:sz w:val="24"/>
        </w:rPr>
      </w:pPr>
      <w:r>
        <w:rPr>
          <w:b/>
          <w:bCs/>
          <w:color w:val="000000"/>
          <w:sz w:val="24"/>
        </w:rPr>
        <w:t>先修课程：</w:t>
      </w:r>
      <w:r>
        <w:rPr>
          <w:color w:val="000000"/>
          <w:sz w:val="24"/>
        </w:rPr>
        <w:t>【</w:t>
      </w:r>
      <w:r>
        <w:rPr>
          <w:rFonts w:hint="eastAsia"/>
          <w:color w:val="000000"/>
          <w:sz w:val="24"/>
        </w:rPr>
        <w:t>大学英语</w:t>
      </w:r>
      <w:r>
        <w:rPr>
          <w:color w:val="000000"/>
          <w:sz w:val="24"/>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autoSpaceDE w:val="0"/>
        <w:autoSpaceDN w:val="0"/>
        <w:adjustRightInd w:val="0"/>
        <w:spacing w:line="360" w:lineRule="auto"/>
        <w:ind w:firstLine="400"/>
        <w:rPr>
          <w:rFonts w:ascii="宋体" w:cs="宋体"/>
          <w:kern w:val="0"/>
          <w:szCs w:val="21"/>
          <w:lang w:val="zh-CN"/>
        </w:rPr>
      </w:pPr>
      <w:r>
        <w:rPr>
          <w:rFonts w:hint="eastAsia"/>
          <w:color w:val="000000"/>
          <w:sz w:val="24"/>
        </w:rPr>
        <w:t>《涉外商务秘书英语 2》主要是以教授写作为主要目的。</w:t>
      </w:r>
      <w:r>
        <w:rPr>
          <w:rFonts w:hint="eastAsia" w:ascii="宋体" w:hAnsi="宋体"/>
          <w:sz w:val="24"/>
        </w:rPr>
        <w:t>秘书英语写作是秘书学专业的一门主要语言技能类的课程，是提高学生写作能力的主要途径。本课程的教学目的是：培养学生具有较高的英语应用文的写作能力，包括各类工作报告、会议议程和会议记录、人力资源文书以及外贸环节的文书写作，使学生能用英语较自由地表达思想，使他们能以英语为工具交流信息。教学遵循实用性、交际性原则，着重模仿实践，以适应社会发展和经济建设的需要。</w:t>
      </w:r>
    </w:p>
    <w:p>
      <w:pPr>
        <w:autoSpaceDE w:val="0"/>
        <w:autoSpaceDN w:val="0"/>
        <w:adjustRightInd w:val="0"/>
        <w:spacing w:line="360" w:lineRule="auto"/>
        <w:rPr>
          <w:rFonts w:ascii="宋体" w:hAnsi="宋体"/>
          <w:sz w:val="24"/>
        </w:rPr>
      </w:pPr>
      <w:r>
        <w:rPr>
          <w:rFonts w:hint="eastAsia" w:ascii="宋体" w:hAnsi="宋体"/>
          <w:sz w:val="24"/>
        </w:rPr>
        <w:t>通过本课程的学习和训练，掌握秘书英语写作的基本格式和基本句型，对秘书工作过程中各环节有所了解，能够撰写、阅读常用的办公室英语。</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jc w:val="left"/>
        <w:rPr>
          <w:color w:val="000000"/>
          <w:sz w:val="24"/>
        </w:rPr>
      </w:pPr>
      <w:r>
        <w:rPr>
          <w:color w:val="000000"/>
          <w:sz w:val="24"/>
        </w:rPr>
        <w:t>本课程授课对象为完成</w:t>
      </w:r>
      <w:r>
        <w:rPr>
          <w:rFonts w:hint="eastAsia"/>
          <w:color w:val="000000"/>
          <w:sz w:val="24"/>
        </w:rPr>
        <w:t>学</w:t>
      </w:r>
      <w:r>
        <w:rPr>
          <w:color w:val="000000"/>
          <w:sz w:val="24"/>
        </w:rPr>
        <w:t>校本</w:t>
      </w:r>
      <w:r>
        <w:rPr>
          <w:rFonts w:hint="eastAsia"/>
          <w:color w:val="000000"/>
          <w:sz w:val="24"/>
        </w:rPr>
        <w:t>科</w:t>
      </w:r>
      <w:r>
        <w:rPr>
          <w:color w:val="000000"/>
          <w:sz w:val="24"/>
        </w:rPr>
        <w:t>“大学英语教学大纲”任务的本科学生，学制一个学期，每周2学时。</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3"/>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LO11：应用书面或口头形式，阐述自己的观点，有效沟通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LO21：能根据需要确定学习目标，并设计学习计划</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LO32：在上下层级间有效进行信息沟通，有效传递领导的管理要求，收集基层信息，反馈给管理层。</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LO33：掌握基础的商务和管理知识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LO34：具有办公室环境管理、接待、日常事务管理等方面的基本能力。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LO35：了解文书基础知识，拟写常用法定公文，拟写常用礼仪文书，拟写常用事务文书，拟写常用商务文书，处理收文与发文，管理文书等。</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LO36：</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LO41：爱岗敬业；了解与专业相关的法律法规，重复认识本专业就业岗位在社会经济中的作用和地位，在学习和社会实践中遵守职业规范，具备职业道德操守。</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LO61：能够根据需要进行专业文献检索</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LO71：爱党爱国，了解祖国的优秀传统文化和革命历史</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LO81：具有外语表达沟通能力，达到本专业的要求。</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autoSpaceDE w:val="0"/>
        <w:autoSpaceDN w:val="0"/>
        <w:adjustRightInd w:val="0"/>
        <w:spacing w:line="500" w:lineRule="atLeast"/>
        <w:rPr>
          <w:color w:val="000000"/>
          <w:sz w:val="24"/>
        </w:rPr>
      </w:pPr>
      <w:r>
        <w:rPr>
          <w:rFonts w:hint="eastAsia"/>
          <w:color w:val="000000"/>
          <w:sz w:val="24"/>
        </w:rPr>
        <w:t>本课程适用于大学本科秘书专业学生，该课程要求从培养高级应用型人才的总体目标出发，并结合学生毕业后的工作实际，向学生提供其将来成为在英语环境中，办公室秘书人员所需要的专业英语知识和技能知识，培养学生提高涉外业务英语的写作能力，为学生在毕业后走上工作岗位上能将所学的知识灵活应用到实际工作中做好充分地准备。</w:t>
      </w:r>
    </w:p>
    <w:p>
      <w:pPr>
        <w:spacing w:line="360" w:lineRule="auto"/>
        <w:rPr>
          <w:color w:val="000000"/>
          <w:sz w:val="24"/>
        </w:rPr>
      </w:pPr>
    </w:p>
    <w:p>
      <w:pPr>
        <w:spacing w:line="360" w:lineRule="auto"/>
        <w:rPr>
          <w:color w:val="000000"/>
          <w:sz w:val="24"/>
        </w:rPr>
      </w:pPr>
    </w:p>
    <w:tbl>
      <w:tblPr>
        <w:tblStyle w:val="2"/>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LO211</w:t>
            </w:r>
          </w:p>
        </w:tc>
        <w:tc>
          <w:tcPr>
            <w:tcW w:w="2470" w:type="dxa"/>
            <w:shd w:val="clear" w:color="auto" w:fill="auto"/>
          </w:tcPr>
          <w:p>
            <w:pPr>
              <w:rPr>
                <w:rFonts w:ascii="仿宋" w:hAnsi="仿宋" w:eastAsia="仿宋" w:cs="宋体"/>
                <w:color w:val="000000"/>
                <w:kern w:val="0"/>
                <w:sz w:val="24"/>
              </w:rPr>
            </w:pPr>
            <w:r>
              <w:rPr>
                <w:color w:val="000000"/>
                <w:sz w:val="24"/>
              </w:rPr>
              <w:t>培养学生</w:t>
            </w:r>
            <w:r>
              <w:rPr>
                <w:rFonts w:hint="eastAsia"/>
                <w:color w:val="000000"/>
                <w:sz w:val="24"/>
              </w:rPr>
              <w:t>收集、整理资料的能力。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学生收集资料、整理成PPT</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LO33</w:t>
            </w:r>
          </w:p>
        </w:tc>
        <w:tc>
          <w:tcPr>
            <w:tcW w:w="2470" w:type="dxa"/>
            <w:shd w:val="clear" w:color="auto" w:fill="auto"/>
          </w:tcPr>
          <w:p>
            <w:pPr>
              <w:rPr>
                <w:color w:val="000000"/>
                <w:sz w:val="24"/>
              </w:rPr>
            </w:pPr>
            <w:r>
              <w:rPr>
                <w:rFonts w:hint="eastAsia"/>
                <w:color w:val="000000"/>
                <w:sz w:val="24"/>
              </w:rPr>
              <w:t>掌握基础的商务和管理知识</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color w:val="000000"/>
                <w:sz w:val="24"/>
              </w:rPr>
            </w:pPr>
            <w:r>
              <w:rPr>
                <w:rFonts w:hint="eastAsia"/>
                <w:color w:val="000000"/>
                <w:sz w:val="24"/>
              </w:rPr>
              <w:t>学生模仿</w:t>
            </w:r>
          </w:p>
        </w:tc>
        <w:tc>
          <w:tcPr>
            <w:tcW w:w="1276" w:type="dxa"/>
            <w:shd w:val="clear" w:color="auto" w:fill="auto"/>
          </w:tcPr>
          <w:p>
            <w:pPr>
              <w:snapToGrid w:val="0"/>
              <w:spacing w:line="288" w:lineRule="auto"/>
              <w:jc w:val="center"/>
              <w:rPr>
                <w:color w:val="000000"/>
                <w:sz w:val="24"/>
              </w:rPr>
            </w:pPr>
            <w:r>
              <w:rPr>
                <w:rFonts w:hint="eastAsia"/>
                <w:color w:val="000000"/>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LO34</w:t>
            </w:r>
          </w:p>
        </w:tc>
        <w:tc>
          <w:tcPr>
            <w:tcW w:w="2470" w:type="dxa"/>
            <w:shd w:val="clear" w:color="auto" w:fill="auto"/>
          </w:tcPr>
          <w:p>
            <w:pPr>
              <w:rPr>
                <w:color w:val="000000"/>
                <w:sz w:val="24"/>
              </w:rPr>
            </w:pPr>
            <w:r>
              <w:rPr>
                <w:rFonts w:hint="eastAsia"/>
                <w:color w:val="000000"/>
                <w:sz w:val="24"/>
              </w:rPr>
              <w:t>具有办公室环境管理、接待、日常事务管理等方面的基本能力。</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LO35</w:t>
            </w:r>
          </w:p>
        </w:tc>
        <w:tc>
          <w:tcPr>
            <w:tcW w:w="2470" w:type="dxa"/>
            <w:shd w:val="clear" w:color="auto" w:fill="auto"/>
          </w:tcPr>
          <w:p>
            <w:pPr>
              <w:rPr>
                <w:color w:val="000000"/>
                <w:sz w:val="24"/>
              </w:rPr>
            </w:pPr>
            <w:r>
              <w:rPr>
                <w:rFonts w:hint="eastAsia"/>
                <w:color w:val="000000"/>
                <w:sz w:val="24"/>
              </w:rPr>
              <w:t>各类文书的写作</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color w:val="000000"/>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tc>
      </w:tr>
    </w:tbl>
    <w:p>
      <w:pPr>
        <w:spacing w:line="360" w:lineRule="auto"/>
        <w:rPr>
          <w:sz w:val="20"/>
          <w:szCs w:val="20"/>
          <w:highlight w:val="yellow"/>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693"/>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0" w:type="pct"/>
            <w:vAlign w:val="center"/>
          </w:tcPr>
          <w:p>
            <w:pPr>
              <w:autoSpaceDE w:val="0"/>
              <w:autoSpaceDN w:val="0"/>
              <w:adjustRightInd w:val="0"/>
              <w:snapToGrid w:val="0"/>
              <w:spacing w:before="31" w:beforeLines="10" w:after="31" w:afterLines="10"/>
              <w:jc w:val="center"/>
              <w:rPr>
                <w:sz w:val="18"/>
                <w:szCs w:val="18"/>
                <w:lang w:val="zh-CN"/>
              </w:rPr>
            </w:pPr>
            <w:r>
              <w:rPr>
                <w:sz w:val="18"/>
                <w:szCs w:val="18"/>
                <w:lang w:val="zh-CN"/>
              </w:rPr>
              <w:t>序号</w:t>
            </w:r>
          </w:p>
        </w:tc>
        <w:tc>
          <w:tcPr>
            <w:tcW w:w="2168" w:type="pct"/>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章节</w:t>
            </w:r>
          </w:p>
        </w:tc>
        <w:tc>
          <w:tcPr>
            <w:tcW w:w="2461" w:type="pct"/>
            <w:vAlign w:val="center"/>
          </w:tcPr>
          <w:p>
            <w:pPr>
              <w:autoSpaceDE w:val="0"/>
              <w:autoSpaceDN w:val="0"/>
              <w:adjustRightInd w:val="0"/>
              <w:snapToGrid w:val="0"/>
              <w:spacing w:before="31" w:beforeLines="10" w:after="31" w:afterLines="10"/>
              <w:ind w:left="-531" w:leftChars="-253" w:firstLine="531" w:firstLineChars="295"/>
              <w:jc w:val="center"/>
              <w:rPr>
                <w:sz w:val="18"/>
                <w:szCs w:val="18"/>
                <w:lang w:val="zh-CN"/>
              </w:rPr>
            </w:pPr>
            <w:r>
              <w:rPr>
                <w:rFonts w:hint="eastAsia"/>
                <w:sz w:val="18"/>
                <w:szCs w:val="18"/>
                <w:lang w:val="zh-CN"/>
              </w:rPr>
              <w:t>知识点与能力要求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0" w:type="pct"/>
            <w:vAlign w:val="center"/>
          </w:tcPr>
          <w:p>
            <w:pPr>
              <w:autoSpaceDE w:val="0"/>
              <w:autoSpaceDN w:val="0"/>
              <w:adjustRightInd w:val="0"/>
              <w:snapToGrid w:val="0"/>
              <w:spacing w:before="31" w:beforeLines="10" w:after="31" w:afterLines="10"/>
              <w:jc w:val="center"/>
              <w:rPr>
                <w:sz w:val="18"/>
                <w:szCs w:val="18"/>
              </w:rPr>
            </w:pPr>
            <w:r>
              <w:rPr>
                <w:rFonts w:hint="eastAsia"/>
                <w:sz w:val="18"/>
                <w:szCs w:val="18"/>
                <w:lang w:val="zh-CN"/>
              </w:rPr>
              <w:t>1</w:t>
            </w:r>
          </w:p>
        </w:tc>
        <w:tc>
          <w:tcPr>
            <w:tcW w:w="2168" w:type="pct"/>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Conference Arrangements and Organization</w:t>
            </w:r>
          </w:p>
          <w:p>
            <w:pPr>
              <w:autoSpaceDE w:val="0"/>
              <w:autoSpaceDN w:val="0"/>
              <w:adjustRightInd w:val="0"/>
              <w:snapToGrid w:val="0"/>
              <w:spacing w:before="31" w:beforeLines="10" w:after="31" w:afterLines="10"/>
              <w:jc w:val="center"/>
              <w:rPr>
                <w:sz w:val="18"/>
                <w:szCs w:val="18"/>
                <w:lang w:val="zh-CN"/>
              </w:rPr>
            </w:pPr>
          </w:p>
        </w:tc>
        <w:tc>
          <w:tcPr>
            <w:tcW w:w="2461" w:type="pct"/>
            <w:vAlign w:val="center"/>
          </w:tcPr>
          <w:p>
            <w:pPr>
              <w:autoSpaceDE w:val="0"/>
              <w:autoSpaceDN w:val="0"/>
              <w:adjustRightInd w:val="0"/>
              <w:snapToGrid w:val="0"/>
              <w:spacing w:before="31" w:beforeLines="10" w:after="31" w:afterLines="10"/>
              <w:ind w:left="-531" w:leftChars="-253" w:firstLine="531" w:firstLineChars="295"/>
              <w:rPr>
                <w:sz w:val="18"/>
                <w:szCs w:val="18"/>
                <w:lang w:val="zh-CN"/>
              </w:rPr>
            </w:pPr>
            <w:r>
              <w:rPr>
                <w:rFonts w:hint="eastAsia" w:ascii="宋体" w:hAnsi="宋体"/>
                <w:sz w:val="18"/>
                <w:szCs w:val="18"/>
              </w:rPr>
              <w:t>了解会议的种类以及不同的主题，并能制定出相应的会  会议程并写出会议记录。通过这一章节的学习能够了解  了解不同的会议流程以及秘书在不同阶段应完成的工作。 工作。（综合、应用）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0" w:type="pct"/>
            <w:vAlign w:val="center"/>
          </w:tcPr>
          <w:p>
            <w:pPr>
              <w:autoSpaceDE w:val="0"/>
              <w:autoSpaceDN w:val="0"/>
              <w:adjustRightInd w:val="0"/>
              <w:snapToGrid w:val="0"/>
              <w:spacing w:before="31" w:beforeLines="10" w:after="31" w:afterLines="10"/>
              <w:jc w:val="center"/>
              <w:rPr>
                <w:sz w:val="18"/>
                <w:szCs w:val="18"/>
              </w:rPr>
            </w:pPr>
            <w:r>
              <w:rPr>
                <w:sz w:val="18"/>
                <w:szCs w:val="18"/>
              </w:rPr>
              <w:t>2</w:t>
            </w:r>
          </w:p>
        </w:tc>
        <w:tc>
          <w:tcPr>
            <w:tcW w:w="2168" w:type="pct"/>
            <w:vAlign w:val="center"/>
          </w:tcPr>
          <w:p>
            <w:pPr>
              <w:rPr>
                <w:rFonts w:ascii="宋体" w:hAnsi="宋体"/>
                <w:sz w:val="18"/>
                <w:szCs w:val="18"/>
              </w:rPr>
            </w:pPr>
            <w:r>
              <w:rPr>
                <w:rFonts w:hint="eastAsia" w:ascii="宋体" w:hAnsi="宋体"/>
                <w:sz w:val="18"/>
                <w:szCs w:val="18"/>
              </w:rPr>
              <w:t>S</w:t>
            </w:r>
            <w:r>
              <w:rPr>
                <w:rFonts w:ascii="宋体" w:hAnsi="宋体"/>
                <w:sz w:val="18"/>
                <w:szCs w:val="18"/>
              </w:rPr>
              <w:t>h</w:t>
            </w:r>
            <w:r>
              <w:rPr>
                <w:rFonts w:hint="eastAsia" w:ascii="宋体" w:hAnsi="宋体"/>
                <w:sz w:val="18"/>
                <w:szCs w:val="18"/>
              </w:rPr>
              <w:t xml:space="preserve">ort </w:t>
            </w:r>
            <w:r>
              <w:rPr>
                <w:rFonts w:ascii="宋体" w:hAnsi="宋体"/>
                <w:sz w:val="18"/>
                <w:szCs w:val="18"/>
              </w:rPr>
              <w:t>Reports</w:t>
            </w:r>
          </w:p>
          <w:p>
            <w:pPr>
              <w:autoSpaceDE w:val="0"/>
              <w:autoSpaceDN w:val="0"/>
              <w:adjustRightInd w:val="0"/>
              <w:snapToGrid w:val="0"/>
              <w:spacing w:before="31" w:beforeLines="10" w:after="31" w:afterLines="10"/>
              <w:rPr>
                <w:rFonts w:ascii="宋体" w:hAnsi="宋体"/>
                <w:sz w:val="18"/>
                <w:szCs w:val="18"/>
              </w:rPr>
            </w:pPr>
          </w:p>
        </w:tc>
        <w:tc>
          <w:tcPr>
            <w:tcW w:w="2461" w:type="pct"/>
            <w:vAlign w:val="center"/>
          </w:tcPr>
          <w:p>
            <w:pPr>
              <w:autoSpaceDE w:val="0"/>
              <w:autoSpaceDN w:val="0"/>
              <w:adjustRightInd w:val="0"/>
              <w:snapToGrid w:val="0"/>
              <w:spacing w:before="31" w:beforeLines="10" w:after="31" w:afterLines="10"/>
              <w:ind w:left="-531" w:leftChars="-253" w:firstLine="531" w:firstLineChars="295"/>
              <w:rPr>
                <w:rFonts w:ascii="宋体" w:hAnsi="宋体"/>
                <w:sz w:val="18"/>
                <w:szCs w:val="18"/>
              </w:rPr>
            </w:pPr>
            <w:r>
              <w:rPr>
                <w:rFonts w:hint="eastAsia" w:ascii="宋体" w:hAnsi="宋体"/>
                <w:sz w:val="18"/>
                <w:szCs w:val="18"/>
              </w:rPr>
              <w:t>报告的种类以及基本结构；差旅报告、简单的市场调研  分析报告和事故分析报告的写法。 （综合、应用）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3</w:t>
            </w:r>
          </w:p>
        </w:tc>
        <w:tc>
          <w:tcPr>
            <w:tcW w:w="2168" w:type="pct"/>
            <w:vAlign w:val="center"/>
          </w:tcPr>
          <w:p>
            <w:pPr>
              <w:rPr>
                <w:sz w:val="18"/>
                <w:szCs w:val="18"/>
              </w:rPr>
            </w:pPr>
            <w:r>
              <w:rPr>
                <w:rFonts w:ascii="宋体" w:hAnsi="宋体"/>
                <w:sz w:val="18"/>
                <w:szCs w:val="18"/>
              </w:rPr>
              <w:t xml:space="preserve"> HR Documents</w:t>
            </w:r>
          </w:p>
          <w:p>
            <w:pPr>
              <w:autoSpaceDE w:val="0"/>
              <w:autoSpaceDN w:val="0"/>
              <w:adjustRightInd w:val="0"/>
              <w:snapToGrid w:val="0"/>
              <w:spacing w:before="31" w:beforeLines="10" w:after="31" w:afterLines="10"/>
              <w:rPr>
                <w:sz w:val="18"/>
                <w:szCs w:val="18"/>
              </w:rPr>
            </w:pPr>
          </w:p>
        </w:tc>
        <w:tc>
          <w:tcPr>
            <w:tcW w:w="2461" w:type="pct"/>
            <w:vAlign w:val="center"/>
          </w:tcPr>
          <w:p>
            <w:pPr>
              <w:ind w:left="-106" w:leftChars="-436" w:hanging="810" w:hangingChars="450"/>
              <w:rPr>
                <w:rFonts w:ascii="宋体" w:hAnsi="宋体"/>
                <w:sz w:val="18"/>
                <w:szCs w:val="18"/>
              </w:rPr>
            </w:pPr>
            <w:r>
              <w:rPr>
                <w:rFonts w:hint="eastAsia" w:ascii="宋体" w:hAnsi="宋体"/>
                <w:sz w:val="18"/>
                <w:szCs w:val="18"/>
              </w:rPr>
              <w:t>了        如何撰写个人简历、在面试过程中应该如何展示自 己、作为人力资源的文员了解并能写出符合规范的招聘广告、录取通知书、员工调动通知以及解聘信。</w:t>
            </w:r>
          </w:p>
          <w:p>
            <w:pPr>
              <w:rPr>
                <w:rFonts w:eastAsia="黑体"/>
                <w:sz w:val="18"/>
                <w:szCs w:val="18"/>
              </w:rPr>
            </w:pPr>
            <w:r>
              <w:rPr>
                <w:rFonts w:hint="eastAsia" w:ascii="宋体" w:hAnsi="宋体"/>
                <w:sz w:val="18"/>
                <w:szCs w:val="18"/>
              </w:rPr>
              <w:t xml:space="preserve"> （综合、应用）</w:t>
            </w:r>
          </w:p>
        </w:tc>
      </w:tr>
    </w:tbl>
    <w:p>
      <w:pPr>
        <w:widowControl/>
        <w:spacing w:before="156" w:beforeLines="50" w:after="156" w:afterLines="50" w:line="288" w:lineRule="auto"/>
        <w:ind w:firstLine="360" w:firstLineChars="150"/>
        <w:jc w:val="left"/>
        <w:rPr>
          <w:color w:val="000000"/>
          <w:sz w:val="24"/>
        </w:rPr>
      </w:pPr>
    </w:p>
    <w:p>
      <w:pPr>
        <w:widowControl/>
        <w:spacing w:before="156" w:beforeLines="50" w:after="156" w:afterLines="50" w:line="288" w:lineRule="auto"/>
        <w:ind w:firstLine="360" w:firstLineChars="150"/>
        <w:jc w:val="left"/>
        <w:rPr>
          <w:color w:val="000000"/>
          <w:sz w:val="24"/>
        </w:rPr>
      </w:pPr>
      <w:r>
        <w:rPr>
          <w:rFonts w:hint="eastAsia"/>
          <w:color w:val="000000"/>
          <w:sz w:val="24"/>
        </w:rPr>
        <w:t>七、课内实验名称及基本要求（选填，适用于课内实验）</w:t>
      </w:r>
    </w:p>
    <w:p>
      <w:pPr>
        <w:snapToGrid w:val="0"/>
        <w:spacing w:line="288" w:lineRule="auto"/>
        <w:ind w:right="26" w:firstLine="480" w:firstLineChars="200"/>
        <w:rPr>
          <w:color w:val="000000"/>
          <w:sz w:val="24"/>
        </w:rPr>
      </w:pPr>
      <w:r>
        <w:rPr>
          <w:rFonts w:hint="eastAsia"/>
          <w:color w:val="000000"/>
          <w:sz w:val="24"/>
        </w:rPr>
        <w:t>列出课程实验的名称、学时数、实验类型（演示型、验证型、设计型、综合型）及每个实验的内容简述。</w:t>
      </w:r>
    </w:p>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17"/>
        <w:gridCol w:w="2024"/>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4"/>
              </w:rPr>
            </w:pPr>
            <w:r>
              <w:rPr>
                <w:rFonts w:hint="eastAsia"/>
                <w:color w:val="000000"/>
                <w:kern w:val="0"/>
                <w:sz w:val="24"/>
                <w:szCs w:val="24"/>
              </w:rPr>
              <w:t>序号</w:t>
            </w:r>
          </w:p>
        </w:tc>
        <w:tc>
          <w:tcPr>
            <w:tcW w:w="1417" w:type="dxa"/>
          </w:tcPr>
          <w:p>
            <w:pPr>
              <w:snapToGrid w:val="0"/>
              <w:spacing w:line="288" w:lineRule="auto"/>
              <w:ind w:right="26"/>
              <w:rPr>
                <w:color w:val="000000"/>
                <w:kern w:val="0"/>
                <w:sz w:val="24"/>
                <w:szCs w:val="24"/>
              </w:rPr>
            </w:pPr>
            <w:r>
              <w:rPr>
                <w:rFonts w:hint="eastAsia"/>
                <w:color w:val="000000"/>
                <w:kern w:val="0"/>
                <w:sz w:val="24"/>
                <w:szCs w:val="24"/>
              </w:rPr>
              <w:t>实验名称</w:t>
            </w:r>
          </w:p>
        </w:tc>
        <w:tc>
          <w:tcPr>
            <w:tcW w:w="2024" w:type="dxa"/>
          </w:tcPr>
          <w:p>
            <w:pPr>
              <w:snapToGrid w:val="0"/>
              <w:spacing w:line="288" w:lineRule="auto"/>
              <w:ind w:right="26"/>
              <w:rPr>
                <w:color w:val="000000"/>
                <w:kern w:val="0"/>
                <w:sz w:val="24"/>
                <w:szCs w:val="24"/>
              </w:rPr>
            </w:pPr>
            <w:r>
              <w:rPr>
                <w:rFonts w:hint="eastAsia"/>
                <w:color w:val="000000"/>
                <w:kern w:val="0"/>
                <w:sz w:val="24"/>
                <w:szCs w:val="24"/>
              </w:rPr>
              <w:t>主要内容</w:t>
            </w:r>
          </w:p>
        </w:tc>
        <w:tc>
          <w:tcPr>
            <w:tcW w:w="1419" w:type="dxa"/>
          </w:tcPr>
          <w:p>
            <w:pPr>
              <w:snapToGrid w:val="0"/>
              <w:spacing w:line="288" w:lineRule="auto"/>
              <w:ind w:right="26"/>
              <w:rPr>
                <w:color w:val="000000"/>
                <w:kern w:val="0"/>
                <w:sz w:val="24"/>
                <w:szCs w:val="24"/>
              </w:rPr>
            </w:pPr>
            <w:r>
              <w:rPr>
                <w:rFonts w:hint="eastAsia"/>
                <w:color w:val="000000"/>
                <w:kern w:val="0"/>
                <w:sz w:val="24"/>
                <w:szCs w:val="24"/>
              </w:rPr>
              <w:t>实验时数</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实验类型</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0"/>
              </w:rPr>
            </w:pPr>
            <w:r>
              <w:rPr>
                <w:rFonts w:hint="eastAsia"/>
                <w:color w:val="000000"/>
                <w:kern w:val="0"/>
                <w:sz w:val="24"/>
                <w:szCs w:val="20"/>
              </w:rPr>
              <w:t>1</w:t>
            </w:r>
          </w:p>
        </w:tc>
        <w:tc>
          <w:tcPr>
            <w:tcW w:w="1417" w:type="dxa"/>
          </w:tcPr>
          <w:p>
            <w:pPr>
              <w:snapToGrid w:val="0"/>
              <w:spacing w:line="288" w:lineRule="auto"/>
              <w:ind w:right="26"/>
              <w:rPr>
                <w:color w:val="000000"/>
                <w:kern w:val="0"/>
                <w:sz w:val="24"/>
                <w:szCs w:val="20"/>
              </w:rPr>
            </w:pPr>
            <w:r>
              <w:rPr>
                <w:rFonts w:hint="eastAsia"/>
                <w:color w:val="000000"/>
                <w:kern w:val="0"/>
                <w:sz w:val="24"/>
                <w:szCs w:val="20"/>
              </w:rPr>
              <w:t>会议的组织与安排</w:t>
            </w:r>
          </w:p>
        </w:tc>
        <w:tc>
          <w:tcPr>
            <w:tcW w:w="2024" w:type="dxa"/>
          </w:tcPr>
          <w:p>
            <w:pPr>
              <w:snapToGrid w:val="0"/>
              <w:spacing w:line="288" w:lineRule="auto"/>
              <w:ind w:right="26"/>
              <w:rPr>
                <w:color w:val="000000"/>
                <w:kern w:val="0"/>
                <w:sz w:val="24"/>
                <w:szCs w:val="20"/>
              </w:rPr>
            </w:pPr>
            <w:r>
              <w:rPr>
                <w:rFonts w:hint="eastAsia"/>
                <w:color w:val="000000"/>
                <w:kern w:val="0"/>
                <w:sz w:val="24"/>
                <w:szCs w:val="20"/>
              </w:rPr>
              <w:t>选择某一会议，制定一套完整的文件，包括：会议的邀请函、会议的议程</w:t>
            </w:r>
          </w:p>
        </w:tc>
        <w:tc>
          <w:tcPr>
            <w:tcW w:w="1419" w:type="dxa"/>
          </w:tcPr>
          <w:p>
            <w:pPr>
              <w:snapToGrid w:val="0"/>
              <w:spacing w:line="288" w:lineRule="auto"/>
              <w:ind w:right="26"/>
              <w:rPr>
                <w:color w:val="000000"/>
                <w:kern w:val="0"/>
                <w:sz w:val="24"/>
                <w:szCs w:val="20"/>
              </w:rPr>
            </w:pPr>
            <w:r>
              <w:rPr>
                <w:rFonts w:hint="eastAsia"/>
                <w:color w:val="000000"/>
                <w:kern w:val="0"/>
                <w:sz w:val="24"/>
                <w:szCs w:val="20"/>
              </w:rPr>
              <w:t>8</w:t>
            </w:r>
          </w:p>
        </w:tc>
        <w:tc>
          <w:tcPr>
            <w:tcW w:w="1420" w:type="dxa"/>
          </w:tcPr>
          <w:p>
            <w:pPr>
              <w:snapToGrid w:val="0"/>
              <w:spacing w:line="288" w:lineRule="auto"/>
              <w:ind w:right="26"/>
              <w:rPr>
                <w:color w:val="000000"/>
                <w:kern w:val="0"/>
                <w:sz w:val="24"/>
                <w:szCs w:val="20"/>
              </w:rPr>
            </w:pPr>
            <w:r>
              <w:rPr>
                <w:rFonts w:hint="eastAsia"/>
                <w:color w:val="000000"/>
                <w:kern w:val="0"/>
                <w:sz w:val="24"/>
                <w:szCs w:val="20"/>
              </w:rPr>
              <w:t>综合</w:t>
            </w:r>
          </w:p>
        </w:tc>
        <w:tc>
          <w:tcPr>
            <w:tcW w:w="1420" w:type="dxa"/>
          </w:tcPr>
          <w:p>
            <w:pPr>
              <w:snapToGrid w:val="0"/>
              <w:spacing w:line="288" w:lineRule="auto"/>
              <w:ind w:right="26"/>
              <w:rPr>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napToGrid w:val="0"/>
              <w:spacing w:line="288" w:lineRule="auto"/>
              <w:ind w:right="26"/>
              <w:rPr>
                <w:color w:val="000000"/>
                <w:kern w:val="0"/>
                <w:sz w:val="24"/>
                <w:szCs w:val="24"/>
              </w:rPr>
            </w:pPr>
            <w:r>
              <w:rPr>
                <w:rFonts w:hint="eastAsia"/>
                <w:color w:val="000000"/>
                <w:kern w:val="0"/>
                <w:sz w:val="24"/>
                <w:szCs w:val="24"/>
              </w:rPr>
              <w:t>2</w:t>
            </w:r>
          </w:p>
        </w:tc>
        <w:tc>
          <w:tcPr>
            <w:tcW w:w="1417" w:type="dxa"/>
          </w:tcPr>
          <w:p>
            <w:pPr>
              <w:snapToGrid w:val="0"/>
              <w:spacing w:line="288" w:lineRule="auto"/>
              <w:ind w:right="26"/>
              <w:rPr>
                <w:color w:val="000000"/>
                <w:kern w:val="0"/>
                <w:sz w:val="24"/>
                <w:szCs w:val="24"/>
              </w:rPr>
            </w:pPr>
            <w:r>
              <w:rPr>
                <w:rFonts w:hint="eastAsia"/>
                <w:color w:val="000000"/>
                <w:kern w:val="0"/>
                <w:sz w:val="24"/>
                <w:szCs w:val="24"/>
              </w:rPr>
              <w:t>分析报告</w:t>
            </w:r>
          </w:p>
        </w:tc>
        <w:tc>
          <w:tcPr>
            <w:tcW w:w="2024" w:type="dxa"/>
          </w:tcPr>
          <w:p>
            <w:pPr>
              <w:snapToGrid w:val="0"/>
              <w:spacing w:line="288" w:lineRule="auto"/>
              <w:ind w:right="26"/>
              <w:rPr>
                <w:color w:val="000000"/>
                <w:kern w:val="0"/>
                <w:sz w:val="24"/>
                <w:szCs w:val="24"/>
              </w:rPr>
            </w:pPr>
            <w:r>
              <w:rPr>
                <w:rFonts w:hint="eastAsia"/>
                <w:color w:val="000000"/>
                <w:kern w:val="0"/>
                <w:sz w:val="24"/>
                <w:szCs w:val="24"/>
              </w:rPr>
              <w:t>选择一个主题：秘书系的课程和就业情况、学生使用手机的情况、学生业余活动的安排，设计问卷调查表，进行问卷调查，分析并总结调查结果，完成调查报告。</w:t>
            </w:r>
          </w:p>
        </w:tc>
        <w:tc>
          <w:tcPr>
            <w:tcW w:w="1419" w:type="dxa"/>
          </w:tcPr>
          <w:p>
            <w:pPr>
              <w:snapToGrid w:val="0"/>
              <w:spacing w:line="288" w:lineRule="auto"/>
              <w:ind w:right="26"/>
              <w:rPr>
                <w:color w:val="000000"/>
                <w:kern w:val="0"/>
                <w:sz w:val="24"/>
                <w:szCs w:val="24"/>
              </w:rPr>
            </w:pPr>
            <w:r>
              <w:rPr>
                <w:rFonts w:hint="eastAsia"/>
                <w:color w:val="000000"/>
                <w:kern w:val="0"/>
                <w:sz w:val="24"/>
                <w:szCs w:val="24"/>
              </w:rPr>
              <w:t>8</w:t>
            </w:r>
          </w:p>
        </w:tc>
        <w:tc>
          <w:tcPr>
            <w:tcW w:w="1420" w:type="dxa"/>
          </w:tcPr>
          <w:p>
            <w:pPr>
              <w:snapToGrid w:val="0"/>
              <w:spacing w:line="288" w:lineRule="auto"/>
              <w:ind w:right="26"/>
              <w:rPr>
                <w:color w:val="000000"/>
                <w:kern w:val="0"/>
                <w:sz w:val="24"/>
                <w:szCs w:val="24"/>
              </w:rPr>
            </w:pPr>
            <w:r>
              <w:rPr>
                <w:rFonts w:hint="eastAsia"/>
                <w:color w:val="000000"/>
                <w:kern w:val="0"/>
                <w:sz w:val="24"/>
                <w:szCs w:val="24"/>
              </w:rPr>
              <w:t>综合型</w:t>
            </w:r>
          </w:p>
        </w:tc>
        <w:tc>
          <w:tcPr>
            <w:tcW w:w="1420" w:type="dxa"/>
          </w:tcPr>
          <w:p>
            <w:pPr>
              <w:snapToGrid w:val="0"/>
              <w:spacing w:line="288" w:lineRule="auto"/>
              <w:ind w:right="26"/>
              <w:rPr>
                <w:color w:val="000000"/>
                <w:kern w:val="0"/>
                <w:sz w:val="24"/>
                <w:szCs w:val="24"/>
              </w:rPr>
            </w:pPr>
          </w:p>
        </w:tc>
      </w:tr>
    </w:tbl>
    <w:p>
      <w:pPr>
        <w:snapToGrid w:val="0"/>
        <w:spacing w:line="288" w:lineRule="auto"/>
        <w:ind w:right="26" w:firstLine="480" w:firstLineChars="200"/>
        <w:rPr>
          <w:color w:val="000000"/>
          <w:sz w:val="24"/>
        </w:rPr>
      </w:pPr>
    </w:p>
    <w:p>
      <w:pPr>
        <w:snapToGrid w:val="0"/>
        <w:spacing w:line="288" w:lineRule="auto"/>
        <w:ind w:right="26" w:firstLine="400" w:firstLineChars="200"/>
        <w:rPr>
          <w:rFonts w:ascii="宋体" w:hAnsi="宋体"/>
          <w:sz w:val="20"/>
          <w:szCs w:val="20"/>
        </w:rPr>
      </w:pPr>
    </w:p>
    <w:tbl>
      <w:tblPr>
        <w:tblStyle w:val="2"/>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3</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r>
        <w:rPr>
          <w:rFonts w:ascii="黑体" w:hAnsi="宋体" w:eastAsia="黑体"/>
          <w:sz w:val="24"/>
        </w:rPr>
        <w:t>（必填项）</w:t>
      </w: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   赵琳红                    系主任审核签名：徐磊</w:t>
      </w:r>
    </w:p>
    <w:p>
      <w:pPr>
        <w:snapToGrid w:val="0"/>
        <w:spacing w:line="288" w:lineRule="auto"/>
        <w:rPr>
          <w:sz w:val="28"/>
          <w:szCs w:val="28"/>
        </w:rPr>
      </w:pPr>
      <w:r>
        <w:rPr>
          <w:rFonts w:hint="eastAsia"/>
          <w:sz w:val="28"/>
          <w:szCs w:val="28"/>
        </w:rPr>
        <w:t xml:space="preserve">审核时间：                       </w:t>
      </w:r>
    </w:p>
    <w:p/>
    <w:p>
      <w:pPr>
        <w:snapToGrid w:val="0"/>
        <w:jc w:val="center"/>
        <w:rPr>
          <w:rFonts w:ascii="黑体" w:hAnsi="黑体" w:eastAsia="黑体"/>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仿宋">
    <w:panose1 w:val="02010609060101010101"/>
    <w:charset w:val="50"/>
    <w:family w:val="roma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9B"/>
    <w:rsid w:val="00160A9B"/>
    <w:rsid w:val="0030661A"/>
    <w:rsid w:val="005C226D"/>
    <w:rsid w:val="006E6A74"/>
    <w:rsid w:val="00760222"/>
    <w:rsid w:val="007E4F57"/>
    <w:rsid w:val="008E1C82"/>
    <w:rsid w:val="00901588"/>
    <w:rsid w:val="00A16C1C"/>
    <w:rsid w:val="00B05584"/>
    <w:rsid w:val="00BE79CA"/>
    <w:rsid w:val="00CE5B38"/>
    <w:rsid w:val="00DC4256"/>
    <w:rsid w:val="390B0D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344</Words>
  <Characters>1967</Characters>
  <Lines>16</Lines>
  <Paragraphs>4</Paragraphs>
  <TotalTime>3</TotalTime>
  <ScaleCrop>false</ScaleCrop>
  <LinksUpToDate>false</LinksUpToDate>
  <CharactersWithSpaces>2307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2019-11-22T01:11:00Z</dcterms:created>
  <dc:creator>dong bo</dc:creator>
  <cp:lastModifiedBy>美美</cp:lastModifiedBy>
  <dcterms:modified xsi:type="dcterms:W3CDTF">2020-03-08T09:31:08Z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