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09332A" w:rsidRDefault="00E5622D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9C1895" w:rsidRPr="009C1895">
        <w:rPr>
          <w:rFonts w:ascii="宋体" w:hAnsi="宋体"/>
          <w:b/>
          <w:sz w:val="28"/>
          <w:szCs w:val="28"/>
        </w:rPr>
        <w:t>All media integrated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8F6EA0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572E8B">
        <w:rPr>
          <w:rFonts w:hint="eastAsia"/>
          <w:sz w:val="20"/>
          <w:szCs w:val="20"/>
        </w:rPr>
        <w:t>广告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理论</w:t>
      </w:r>
      <w:r w:rsidR="009C1895">
        <w:rPr>
          <w:rFonts w:hint="eastAsia"/>
          <w:sz w:val="20"/>
          <w:szCs w:val="20"/>
        </w:rPr>
        <w:t>实践</w:t>
      </w:r>
      <w:r>
        <w:rPr>
          <w:rFonts w:hint="eastAsia"/>
          <w:sz w:val="20"/>
          <w:szCs w:val="20"/>
        </w:rPr>
        <w:t>教学课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8B1DC9" w:rsidRDefault="0009332A" w:rsidP="008B1DC9">
      <w:pPr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B1DC9">
        <w:rPr>
          <w:sz w:val="20"/>
          <w:szCs w:val="20"/>
        </w:rPr>
        <w:t>【</w:t>
      </w:r>
      <w:r w:rsidR="008B1DC9">
        <w:rPr>
          <w:rFonts w:hint="eastAsia"/>
          <w:sz w:val="20"/>
          <w:szCs w:val="20"/>
        </w:rPr>
        <w:t>《</w:t>
      </w:r>
      <w:r w:rsidR="008B1DC9">
        <w:rPr>
          <w:b/>
          <w:bCs/>
          <w:sz w:val="20"/>
          <w:szCs w:val="20"/>
        </w:rPr>
        <w:t>新媒体营销案例分析</w:t>
      </w:r>
      <w:r w:rsidR="008B1DC9">
        <w:rPr>
          <w:rFonts w:hint="eastAsia"/>
          <w:b/>
          <w:bCs/>
          <w:sz w:val="20"/>
          <w:szCs w:val="20"/>
        </w:rPr>
        <w:t xml:space="preserve"> </w:t>
      </w:r>
      <w:r w:rsidR="008B1DC9">
        <w:rPr>
          <w:rFonts w:hint="eastAsia"/>
          <w:b/>
          <w:bCs/>
          <w:sz w:val="20"/>
          <w:szCs w:val="20"/>
        </w:rPr>
        <w:t>模式、平台与行业应用</w:t>
      </w:r>
      <w:r w:rsidR="008B1DC9">
        <w:rPr>
          <w:rFonts w:hint="eastAsia"/>
          <w:sz w:val="20"/>
          <w:szCs w:val="20"/>
        </w:rPr>
        <w:t>》张向南编著</w:t>
      </w:r>
      <w:r w:rsidR="008B1DC9">
        <w:rPr>
          <w:rFonts w:hint="eastAsia"/>
          <w:sz w:val="20"/>
          <w:szCs w:val="20"/>
        </w:rPr>
        <w:t xml:space="preserve"> </w:t>
      </w:r>
      <w:r w:rsidR="008B1DC9">
        <w:rPr>
          <w:rFonts w:hint="eastAsia"/>
          <w:sz w:val="20"/>
          <w:szCs w:val="20"/>
        </w:rPr>
        <w:t>人民邮电出版社</w:t>
      </w:r>
      <w:r w:rsidR="008B1DC9">
        <w:rPr>
          <w:rFonts w:hint="eastAsia"/>
          <w:sz w:val="20"/>
          <w:szCs w:val="20"/>
        </w:rPr>
        <w:t xml:space="preserve"> 2017.11</w:t>
      </w:r>
      <w:r w:rsidR="008B1DC9">
        <w:rPr>
          <w:sz w:val="20"/>
          <w:szCs w:val="20"/>
        </w:rPr>
        <w:t>】</w:t>
      </w:r>
    </w:p>
    <w:p w:rsidR="009C1895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9C1895" w:rsidRDefault="009C1895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 xml:space="preserve">Lon </w:t>
      </w:r>
      <w:proofErr w:type="spellStart"/>
      <w:r>
        <w:rPr>
          <w:rFonts w:hint="eastAsia"/>
          <w:sz w:val="20"/>
          <w:szCs w:val="20"/>
        </w:rPr>
        <w:t>safko</w:t>
      </w:r>
      <w:proofErr w:type="spellEnd"/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《数字营销——世界最成功的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个数字营销活动》（爱尔兰）</w:t>
      </w:r>
      <w:r>
        <w:rPr>
          <w:rFonts w:hint="eastAsia"/>
          <w:sz w:val="20"/>
          <w:szCs w:val="20"/>
        </w:rPr>
        <w:t>Damian Ryan Calvin Jones</w:t>
      </w:r>
      <w:r>
        <w:rPr>
          <w:rFonts w:hint="eastAsia"/>
          <w:sz w:val="20"/>
          <w:szCs w:val="20"/>
        </w:rPr>
        <w:t>著派力译企业管理出版社</w:t>
      </w:r>
      <w:r>
        <w:rPr>
          <w:rFonts w:hint="eastAsia"/>
          <w:sz w:val="20"/>
          <w:szCs w:val="20"/>
        </w:rPr>
        <w:t>2012.7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【《</w:t>
      </w:r>
      <w:r>
        <w:rPr>
          <w:rFonts w:hint="eastAsia"/>
          <w:sz w:val="20"/>
          <w:szCs w:val="20"/>
        </w:rPr>
        <w:t>社会化媒体时代的口碑营销</w:t>
      </w:r>
      <w:r w:rsidRPr="00BF1CF5">
        <w:rPr>
          <w:rFonts w:hint="eastAsia"/>
          <w:sz w:val="20"/>
          <w:szCs w:val="20"/>
        </w:rPr>
        <w:t>》亚历克斯•戈德费恩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林小夕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赵金慧著</w:t>
      </w:r>
      <w:r>
        <w:rPr>
          <w:rFonts w:hint="eastAsia"/>
          <w:sz w:val="20"/>
          <w:szCs w:val="20"/>
        </w:rPr>
        <w:t xml:space="preserve"> </w:t>
      </w:r>
      <w:r w:rsidRPr="00BF1CF5">
        <w:rPr>
          <w:rFonts w:hint="eastAsia"/>
          <w:sz w:val="20"/>
          <w:szCs w:val="20"/>
        </w:rPr>
        <w:t>企业管理出版社</w:t>
      </w:r>
      <w:r>
        <w:rPr>
          <w:rFonts w:hint="eastAsia"/>
          <w:sz w:val="20"/>
          <w:szCs w:val="20"/>
        </w:rPr>
        <w:t xml:space="preserve"> 2013.5</w:t>
      </w:r>
      <w:r w:rsidRPr="00BF1CF5">
        <w:rPr>
          <w:rFonts w:hint="eastAsia"/>
          <w:sz w:val="20"/>
          <w:szCs w:val="20"/>
        </w:rPr>
        <w:t>】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 w:rsidRPr="00596980"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09332A" w:rsidRDefault="0009332A" w:rsidP="008F6EA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9332A" w:rsidRDefault="00725485" w:rsidP="001D0A0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</w:t>
      </w:r>
      <w:r w:rsidR="001D0A06">
        <w:rPr>
          <w:rFonts w:hint="eastAsia"/>
          <w:sz w:val="20"/>
          <w:szCs w:val="20"/>
        </w:rPr>
        <w:t>知晓</w:t>
      </w:r>
      <w:r w:rsidR="00D745F9">
        <w:rPr>
          <w:rFonts w:hint="eastAsia"/>
          <w:sz w:val="20"/>
          <w:szCs w:val="20"/>
        </w:rPr>
        <w:t>媒体营销的一些基本知识</w:t>
      </w:r>
      <w:r w:rsidR="001D0A06">
        <w:rPr>
          <w:rFonts w:hint="eastAsia"/>
          <w:sz w:val="20"/>
          <w:szCs w:val="20"/>
        </w:rPr>
        <w:t>：</w:t>
      </w:r>
      <w:r w:rsidR="001D0A06">
        <w:rPr>
          <w:rFonts w:hint="eastAsia"/>
          <w:sz w:val="20"/>
          <w:szCs w:val="20"/>
        </w:rPr>
        <w:t>4P</w:t>
      </w:r>
      <w:r w:rsidR="001D0A06">
        <w:rPr>
          <w:rFonts w:hint="eastAsia"/>
          <w:sz w:val="20"/>
          <w:szCs w:val="20"/>
        </w:rPr>
        <w:t>、病毒营销、</w:t>
      </w:r>
      <w:r w:rsidR="001D0A06" w:rsidRPr="00057945">
        <w:rPr>
          <w:rFonts w:ascii="宋体" w:hAnsi="宋体" w:cs="宋体" w:hint="eastAsia"/>
          <w:color w:val="000000"/>
          <w:kern w:val="0"/>
          <w:sz w:val="20"/>
          <w:szCs w:val="20"/>
        </w:rPr>
        <w:t>萨式营销轮盘</w:t>
      </w:r>
      <w:r w:rsidR="001D0A06">
        <w:rPr>
          <w:rFonts w:ascii="宋体" w:hAnsi="宋体" w:cs="宋体" w:hint="eastAsia"/>
          <w:color w:val="000000"/>
          <w:kern w:val="0"/>
          <w:sz w:val="20"/>
          <w:szCs w:val="20"/>
        </w:rPr>
        <w:t>等；能够</w:t>
      </w:r>
      <w:r w:rsidR="001D0A06">
        <w:rPr>
          <w:rFonts w:hint="eastAsia"/>
          <w:sz w:val="20"/>
          <w:szCs w:val="20"/>
        </w:rPr>
        <w:t>把握时下最新的媒体营销趋势，</w:t>
      </w:r>
      <w:r w:rsidR="001D0A06">
        <w:rPr>
          <w:rFonts w:ascii="宋体" w:hAnsi="宋体" w:cs="宋体" w:hint="eastAsia"/>
          <w:color w:val="000000"/>
          <w:kern w:val="0"/>
          <w:sz w:val="20"/>
          <w:szCs w:val="20"/>
        </w:rPr>
        <w:t>根据媒体营销的</w:t>
      </w:r>
      <w:r w:rsidR="001D0A06" w:rsidRPr="00057945">
        <w:rPr>
          <w:rFonts w:ascii="宋体" w:hAnsi="宋体" w:cs="宋体" w:hint="eastAsia"/>
          <w:color w:val="000000"/>
          <w:kern w:val="0"/>
          <w:sz w:val="20"/>
          <w:szCs w:val="20"/>
        </w:rPr>
        <w:t>流程及内容：目标、选择、整合</w:t>
      </w:r>
      <w:r w:rsidR="001D0A06">
        <w:rPr>
          <w:rFonts w:ascii="宋体" w:hAnsi="宋体" w:cs="宋体" w:hint="eastAsia"/>
          <w:color w:val="000000"/>
          <w:kern w:val="0"/>
          <w:sz w:val="20"/>
          <w:szCs w:val="20"/>
        </w:rPr>
        <w:t>；</w:t>
      </w:r>
      <w:r w:rsidR="001D0A06" w:rsidRPr="00057945">
        <w:rPr>
          <w:rFonts w:ascii="宋体" w:hAnsi="宋体" w:cs="宋体" w:hint="eastAsia"/>
          <w:color w:val="000000"/>
          <w:kern w:val="0"/>
          <w:sz w:val="20"/>
          <w:szCs w:val="20"/>
        </w:rPr>
        <w:t>运用图形分析现有的社会化媒体，掌握萨式营销轮盘</w:t>
      </w:r>
      <w:r w:rsidR="001D0A06">
        <w:rPr>
          <w:rFonts w:ascii="宋体" w:hAnsi="宋体" w:cs="宋体" w:hint="eastAsia"/>
          <w:color w:val="000000"/>
          <w:kern w:val="0"/>
          <w:sz w:val="20"/>
          <w:szCs w:val="20"/>
        </w:rPr>
        <w:t>；并将</w:t>
      </w:r>
      <w:r w:rsidR="001D0A06">
        <w:rPr>
          <w:rFonts w:hint="eastAsia"/>
          <w:sz w:val="20"/>
          <w:szCs w:val="20"/>
        </w:rPr>
        <w:t>传统</w:t>
      </w:r>
      <w:r w:rsidR="001D0A06" w:rsidRPr="00A36DA4">
        <w:rPr>
          <w:rFonts w:hint="eastAsia"/>
          <w:sz w:val="20"/>
          <w:szCs w:val="20"/>
        </w:rPr>
        <w:t>媒体与社会化媒体整合营销</w:t>
      </w:r>
      <w:r w:rsidR="001D0A06">
        <w:rPr>
          <w:rFonts w:hint="eastAsia"/>
          <w:sz w:val="20"/>
          <w:szCs w:val="20"/>
        </w:rPr>
        <w:t>，能够在媒体渠道和内容信息方面进行时效、有效的媒体整体营销传播。此外，</w:t>
      </w:r>
      <w:r w:rsidR="00D745F9">
        <w:rPr>
          <w:rFonts w:hint="eastAsia"/>
          <w:sz w:val="20"/>
          <w:szCs w:val="20"/>
        </w:rPr>
        <w:t>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</w:p>
    <w:p w:rsidR="00725485" w:rsidRDefault="00725485" w:rsidP="008F6EA0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:rsidR="0009332A" w:rsidRDefault="0009332A" w:rsidP="008F6E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:rsidR="00D01A3D" w:rsidRDefault="002A4CAE" w:rsidP="008F6E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p w:rsidR="009A0C6E" w:rsidRPr="006A1A83" w:rsidRDefault="009A0C6E" w:rsidP="008F6E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9A0C6E" w:rsidRPr="000A1EB0" w:rsidTr="00C479BC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Default="009A0C6E" w:rsidP="00C479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  <w:p w:rsidR="009A0C6E" w:rsidRDefault="009A0C6E" w:rsidP="00C479BC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9A0C6E" w:rsidRPr="000A1EB0" w:rsidTr="00C479BC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Default="009A0C6E" w:rsidP="00C479BC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9A0C6E" w:rsidRPr="000A1EB0" w:rsidTr="00C479BC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9A0C6E" w:rsidRDefault="009A0C6E" w:rsidP="008F6EA0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1D0A06" w:rsidRDefault="001D0A06" w:rsidP="008F6EA0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:rsidR="009A0C6E" w:rsidRDefault="001D0A06" w:rsidP="00AC7548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p w:rsidR="00FE3AF4" w:rsidRDefault="00FE3AF4" w:rsidP="008F6EA0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tbl>
      <w:tblPr>
        <w:tblpPr w:leftFromText="180" w:rightFromText="180" w:vertAnchor="page" w:horzAnchor="page" w:tblpX="2293" w:tblpY="7165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5"/>
        <w:gridCol w:w="2410"/>
        <w:gridCol w:w="1701"/>
        <w:gridCol w:w="2202"/>
      </w:tblGrid>
      <w:tr w:rsidR="009A0C6E" w:rsidTr="001D0A06">
        <w:tc>
          <w:tcPr>
            <w:tcW w:w="535" w:type="dxa"/>
          </w:tcPr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02" w:type="dxa"/>
            <w:vAlign w:val="center"/>
          </w:tcPr>
          <w:p w:rsidR="009A0C6E" w:rsidRDefault="009A0C6E" w:rsidP="001D0A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57945" w:rsidTr="001D0A06">
        <w:trPr>
          <w:trHeight w:val="1245"/>
        </w:trPr>
        <w:tc>
          <w:tcPr>
            <w:tcW w:w="53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2410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</w:t>
            </w:r>
            <w:r w:rsidRPr="00610BD7">
              <w:rPr>
                <w:rFonts w:hint="eastAsia"/>
                <w:sz w:val="20"/>
                <w:szCs w:val="20"/>
              </w:rPr>
              <w:t>思路及想法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:rsidR="00057945" w:rsidRPr="004B5AB6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202" w:type="dxa"/>
          </w:tcPr>
          <w:p w:rsidR="00057945" w:rsidRPr="007C6166" w:rsidRDefault="00057945" w:rsidP="001D0A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根据课程要求进行讨论分析，团队交流，并阐述团队思路及想法。</w:t>
            </w:r>
          </w:p>
        </w:tc>
      </w:tr>
      <w:tr w:rsidR="00057945" w:rsidTr="001D0A06">
        <w:tc>
          <w:tcPr>
            <w:tcW w:w="53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410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通过案例深度学习，</w:t>
            </w:r>
            <w:r w:rsidRPr="00FE3AF4">
              <w:rPr>
                <w:rFonts w:hint="eastAsia"/>
                <w:sz w:val="20"/>
                <w:szCs w:val="20"/>
              </w:rPr>
              <w:t>使用社</w:t>
            </w:r>
            <w:r>
              <w:rPr>
                <w:rFonts w:hint="eastAsia"/>
                <w:sz w:val="20"/>
                <w:szCs w:val="20"/>
              </w:rPr>
              <w:t>会化媒体和传统媒体的整合方法，制定适合线上线下生活的强有力媒体组合方式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  <w:tc>
          <w:tcPr>
            <w:tcW w:w="1701" w:type="dxa"/>
          </w:tcPr>
          <w:p w:rsidR="00057945" w:rsidRPr="004B5AB6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案例分享</w:t>
            </w:r>
            <w:r>
              <w:rPr>
                <w:rFonts w:hint="eastAsia"/>
                <w:sz w:val="20"/>
                <w:szCs w:val="20"/>
              </w:rPr>
              <w:t>、交流</w:t>
            </w:r>
          </w:p>
        </w:tc>
        <w:tc>
          <w:tcPr>
            <w:tcW w:w="2202" w:type="dxa"/>
          </w:tcPr>
          <w:p w:rsidR="00057945" w:rsidRPr="004B5AB6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</w:t>
            </w:r>
          </w:p>
        </w:tc>
      </w:tr>
      <w:tr w:rsidR="00057945" w:rsidTr="001D0A06">
        <w:tc>
          <w:tcPr>
            <w:tcW w:w="53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2410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具备全媒体策划的能力。能够</w:t>
            </w:r>
            <w:r w:rsidRPr="00D01A3D">
              <w:rPr>
                <w:rFonts w:hint="eastAsia"/>
                <w:sz w:val="20"/>
                <w:szCs w:val="20"/>
              </w:rPr>
              <w:t>撰写完整的媒体营销方案并进行实际的提案</w:t>
            </w:r>
            <w:r>
              <w:rPr>
                <w:rFonts w:hint="eastAsia"/>
                <w:sz w:val="20"/>
                <w:szCs w:val="20"/>
              </w:rPr>
              <w:t>及执行</w:t>
            </w:r>
          </w:p>
        </w:tc>
        <w:tc>
          <w:tcPr>
            <w:tcW w:w="1701" w:type="dxa"/>
          </w:tcPr>
          <w:p w:rsidR="00057945" w:rsidRPr="00610BD7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  <w:r w:rsidRPr="00610BD7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项目模拟</w:t>
            </w:r>
          </w:p>
        </w:tc>
        <w:tc>
          <w:tcPr>
            <w:tcW w:w="2202" w:type="dxa"/>
          </w:tcPr>
          <w:p w:rsidR="00057945" w:rsidRPr="004B5AB6" w:rsidRDefault="00057945" w:rsidP="001D0A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根据相关要求，提交全媒体营销方案。</w:t>
            </w:r>
          </w:p>
        </w:tc>
      </w:tr>
    </w:tbl>
    <w:p w:rsidR="00FE3AF4" w:rsidRDefault="00FE3AF4" w:rsidP="008F6EA0">
      <w:pPr>
        <w:widowControl/>
        <w:spacing w:beforeLines="50" w:before="156" w:afterLines="50" w:after="156" w:line="288" w:lineRule="auto"/>
        <w:ind w:firstLineChars="200" w:firstLine="400"/>
        <w:rPr>
          <w:sz w:val="20"/>
          <w:szCs w:val="20"/>
        </w:rPr>
      </w:pPr>
    </w:p>
    <w:p w:rsidR="001D0A06" w:rsidRPr="001D0A06" w:rsidRDefault="001D0A06" w:rsidP="001D0A06">
      <w:pPr>
        <w:snapToGrid w:val="0"/>
        <w:spacing w:line="288" w:lineRule="auto"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p w:rsidR="001D0A06" w:rsidRPr="001D0A06" w:rsidRDefault="001D0A06" w:rsidP="001D0A06">
      <w:pPr>
        <w:snapToGrid w:val="0"/>
        <w:spacing w:line="288" w:lineRule="auto"/>
        <w:rPr>
          <w:sz w:val="20"/>
          <w:szCs w:val="20"/>
        </w:rPr>
      </w:pPr>
    </w:p>
    <w:p w:rsidR="00FE3AF4" w:rsidRDefault="00FE3AF4" w:rsidP="008F6EA0">
      <w:pPr>
        <w:widowControl/>
        <w:spacing w:beforeLines="50" w:before="156" w:afterLines="50" w:after="156" w:line="288" w:lineRule="auto"/>
        <w:ind w:firstLineChars="200" w:firstLine="400"/>
        <w:rPr>
          <w:sz w:val="20"/>
          <w:szCs w:val="20"/>
        </w:rPr>
      </w:pPr>
    </w:p>
    <w:p w:rsidR="001D0A06" w:rsidRPr="001D0A06" w:rsidRDefault="001D0A06" w:rsidP="008F6EA0">
      <w:pPr>
        <w:widowControl/>
        <w:spacing w:beforeLines="50" w:before="156" w:afterLines="50" w:after="156" w:line="288" w:lineRule="auto"/>
        <w:ind w:firstLineChars="200" w:firstLine="400"/>
        <w:rPr>
          <w:sz w:val="20"/>
          <w:szCs w:val="20"/>
        </w:rPr>
      </w:pPr>
    </w:p>
    <w:p w:rsidR="00A61886" w:rsidRPr="00D01A3D" w:rsidRDefault="00A61886" w:rsidP="008F6E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9332A" w:rsidRDefault="00494661" w:rsidP="008F6E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8"/>
        <w:tblW w:w="0" w:type="auto"/>
        <w:tblInd w:w="718" w:type="dxa"/>
        <w:tblLook w:val="04A0" w:firstRow="1" w:lastRow="0" w:firstColumn="1" w:lastColumn="0" w:noHBand="0" w:noVBand="1"/>
      </w:tblPr>
      <w:tblGrid>
        <w:gridCol w:w="1186"/>
        <w:gridCol w:w="1234"/>
        <w:gridCol w:w="1271"/>
        <w:gridCol w:w="1234"/>
        <w:gridCol w:w="1645"/>
        <w:gridCol w:w="1234"/>
      </w:tblGrid>
      <w:tr w:rsidR="00DD287D" w:rsidTr="00C479BC">
        <w:tc>
          <w:tcPr>
            <w:tcW w:w="118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DD287D" w:rsidTr="00C479BC">
        <w:trPr>
          <w:trHeight w:val="1348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 w:rsidR="0099636C" w:rsidRDefault="007C6166" w:rsidP="00057945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  <w:r w:rsidR="001D0A06">
              <w:rPr>
                <w:rFonts w:hint="eastAsia"/>
                <w:sz w:val="20"/>
                <w:szCs w:val="20"/>
              </w:rPr>
              <w:t>全媒体营销概述</w:t>
            </w:r>
            <w:r w:rsidR="0099636C">
              <w:rPr>
                <w:rFonts w:hint="eastAsia"/>
                <w:sz w:val="20"/>
                <w:szCs w:val="20"/>
              </w:rPr>
              <w:t>（</w:t>
            </w:r>
            <w:r w:rsidR="0099636C">
              <w:rPr>
                <w:rFonts w:hint="eastAsia"/>
                <w:sz w:val="20"/>
                <w:szCs w:val="20"/>
              </w:rPr>
              <w:t>6</w:t>
            </w:r>
            <w:r w:rsidR="0099636C">
              <w:rPr>
                <w:rFonts w:hint="eastAsia"/>
                <w:sz w:val="20"/>
                <w:szCs w:val="20"/>
              </w:rPr>
              <w:t>课时）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99636C" w:rsidRPr="00EB4916">
              <w:rPr>
                <w:rFonts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sz w:val="20"/>
                <w:szCs w:val="20"/>
              </w:rPr>
              <w:t>把握时下最新的</w:t>
            </w:r>
            <w:r w:rsidR="0099636C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趋势。</w:t>
            </w:r>
          </w:p>
          <w:p w:rsidR="007C6166" w:rsidRPr="0078691C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99636C">
              <w:rPr>
                <w:rFonts w:hint="eastAsia"/>
                <w:sz w:val="20"/>
                <w:szCs w:val="20"/>
              </w:rPr>
              <w:t>媒体营销趋势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团队协同合作，进行案例分享讨论。掌握时下最新</w:t>
            </w:r>
            <w:r w:rsidR="0099636C">
              <w:rPr>
                <w:rFonts w:hint="eastAsia"/>
                <w:sz w:val="20"/>
                <w:szCs w:val="20"/>
              </w:rPr>
              <w:t>全媒体营销方式与发展趋势</w:t>
            </w:r>
            <w:r>
              <w:rPr>
                <w:rFonts w:hint="eastAsia"/>
                <w:sz w:val="20"/>
                <w:szCs w:val="20"/>
              </w:rPr>
              <w:t>，并对其有自己的认识与看法。</w:t>
            </w:r>
          </w:p>
        </w:tc>
      </w:tr>
      <w:tr w:rsidR="00DD287D" w:rsidTr="00C479BC">
        <w:trPr>
          <w:trHeight w:val="2706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720C5D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Pr="00720C5D">
              <w:rPr>
                <w:sz w:val="20"/>
                <w:szCs w:val="20"/>
              </w:rPr>
              <w:t xml:space="preserve"> </w:t>
            </w:r>
            <w:r w:rsidR="0099636C" w:rsidRPr="00EB4916">
              <w:rPr>
                <w:rFonts w:hint="eastAsia"/>
                <w:sz w:val="20"/>
                <w:szCs w:val="20"/>
              </w:rPr>
              <w:t>媒体营销的流程及内容</w:t>
            </w:r>
          </w:p>
        </w:tc>
        <w:tc>
          <w:tcPr>
            <w:tcW w:w="1234" w:type="dxa"/>
          </w:tcPr>
          <w:p w:rsidR="0099636C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目标、选择、整合。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117"/>
        </w:trPr>
        <w:tc>
          <w:tcPr>
            <w:tcW w:w="1186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B4916"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媒体营销的方法</w:t>
            </w:r>
          </w:p>
        </w:tc>
        <w:tc>
          <w:tcPr>
            <w:tcW w:w="1234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2-1-1能够运用图形分析现有的社会化媒体，掌握萨式营销轮盘。</w:t>
            </w: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2-1-1分析现有传统媒体及社会化数字媒体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整合两者、测试及正式实施。</w:t>
            </w:r>
          </w:p>
        </w:tc>
        <w:tc>
          <w:tcPr>
            <w:tcW w:w="1234" w:type="dxa"/>
            <w:vMerge w:val="restart"/>
          </w:tcPr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根据相关要求，完成案例深度学习及媒体全方面的整合。通过案例深度学习，使用饥饿营销、借势营销等方法策略，制定适合线上线下生活的强有力全媒体整合方式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</w:tr>
      <w:tr w:rsidR="005E1D51" w:rsidTr="005E1D51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媒体营销的策略</w:t>
            </w:r>
          </w:p>
        </w:tc>
        <w:tc>
          <w:tcPr>
            <w:tcW w:w="1234" w:type="dxa"/>
          </w:tcPr>
          <w:p w:rsidR="005E1D51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把握场景营销、IP营销等。</w:t>
            </w:r>
          </w:p>
          <w:p w:rsidR="005E1D51" w:rsidRPr="00057945" w:rsidRDefault="005E1D51" w:rsidP="005E1D51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2-2-1长尾理论、场景营销、IP营销、口碑管理、社会化粉丝经济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="001D0A06">
              <w:rPr>
                <w:rFonts w:hint="eastAsia"/>
                <w:sz w:val="20"/>
                <w:szCs w:val="20"/>
              </w:rPr>
              <w:t>传统</w:t>
            </w:r>
            <w:r w:rsidRPr="00A36DA4">
              <w:rPr>
                <w:rFonts w:hint="eastAsia"/>
                <w:sz w:val="20"/>
                <w:szCs w:val="20"/>
              </w:rPr>
              <w:t>媒体与社会化媒体整合营销</w:t>
            </w:r>
          </w:p>
        </w:tc>
        <w:tc>
          <w:tcPr>
            <w:tcW w:w="1234" w:type="dxa"/>
          </w:tcPr>
          <w:p w:rsidR="005E1D51" w:rsidRPr="00A36DA4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DD287D" w:rsidTr="00C479BC">
        <w:trPr>
          <w:trHeight w:val="624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DD287D" w:rsidRPr="007D5275">
              <w:rPr>
                <w:rFonts w:hint="eastAsia"/>
                <w:sz w:val="20"/>
                <w:szCs w:val="20"/>
              </w:rPr>
              <w:t>模拟项目营销及提案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DD287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掌握营销方案的主要内容，并最终提交一</w:t>
            </w:r>
            <w:r w:rsidR="00DD287D">
              <w:rPr>
                <w:rFonts w:hint="eastAsia"/>
                <w:sz w:val="20"/>
                <w:szCs w:val="20"/>
              </w:rPr>
              <w:lastRenderedPageBreak/>
              <w:t>份完整的媒体营销方案</w:t>
            </w:r>
          </w:p>
        </w:tc>
        <w:tc>
          <w:tcPr>
            <w:tcW w:w="1645" w:type="dxa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3-1-1 </w:t>
            </w:r>
            <w:r w:rsidR="00DD287D">
              <w:rPr>
                <w:rFonts w:hint="eastAsia"/>
                <w:sz w:val="20"/>
                <w:szCs w:val="20"/>
              </w:rPr>
              <w:t>媒体营销方案</w:t>
            </w:r>
          </w:p>
        </w:tc>
        <w:tc>
          <w:tcPr>
            <w:tcW w:w="1234" w:type="dxa"/>
            <w:vMerge w:val="restart"/>
          </w:tcPr>
          <w:p w:rsidR="007C6166" w:rsidRDefault="00DD287D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</w:t>
            </w:r>
            <w:r w:rsidR="007C6166">
              <w:rPr>
                <w:rFonts w:hint="eastAsia"/>
                <w:sz w:val="20"/>
                <w:szCs w:val="20"/>
              </w:rPr>
              <w:t>知</w:t>
            </w:r>
            <w:r w:rsidR="007C6166">
              <w:rPr>
                <w:rFonts w:hint="eastAsia"/>
                <w:sz w:val="20"/>
                <w:szCs w:val="20"/>
              </w:rPr>
              <w:lastRenderedPageBreak/>
              <w:t>识，</w:t>
            </w:r>
            <w:r>
              <w:rPr>
                <w:rFonts w:hint="eastAsia"/>
                <w:sz w:val="20"/>
                <w:szCs w:val="20"/>
              </w:rPr>
              <w:t>提交一份完整的全媒体营销方案</w:t>
            </w:r>
            <w:r w:rsidR="007C616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287D" w:rsidTr="00C479BC">
        <w:trPr>
          <w:trHeight w:val="983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D287D">
              <w:rPr>
                <w:rFonts w:hint="eastAsia"/>
                <w:sz w:val="20"/>
                <w:szCs w:val="20"/>
              </w:rPr>
              <w:t>提案及相关执行。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DD287D"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DD287D">
              <w:rPr>
                <w:rFonts w:hint="eastAsia"/>
                <w:sz w:val="20"/>
                <w:szCs w:val="20"/>
              </w:rPr>
              <w:t>提案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7C6166" w:rsidRDefault="007C6166" w:rsidP="0009332A">
      <w:pPr>
        <w:snapToGrid w:val="0"/>
        <w:spacing w:line="288" w:lineRule="auto"/>
        <w:ind w:left="718"/>
        <w:rPr>
          <w:sz w:val="20"/>
          <w:szCs w:val="20"/>
        </w:rPr>
      </w:pPr>
    </w:p>
    <w:p w:rsidR="0009332A" w:rsidRDefault="0009332A" w:rsidP="0009332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24055C" w:rsidRDefault="0024055C" w:rsidP="00C7262D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AC7548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4055C" w:rsidTr="00A937C8">
        <w:tc>
          <w:tcPr>
            <w:tcW w:w="1809" w:type="dxa"/>
          </w:tcPr>
          <w:p w:rsidR="0024055C" w:rsidRDefault="0024055C" w:rsidP="008F6EA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24055C" w:rsidRDefault="0024055C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24055C" w:rsidRDefault="0024055C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D03B94" w:rsidRDefault="00180B5E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深度学习</w:t>
            </w:r>
            <w:r w:rsidR="007C6166">
              <w:rPr>
                <w:rFonts w:ascii="宋体" w:hAnsi="宋体" w:hint="eastAsia"/>
                <w:bCs/>
                <w:color w:val="000000"/>
                <w:szCs w:val="20"/>
              </w:rPr>
              <w:t>及媒体整合作业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期末大作业：</w:t>
            </w:r>
            <w:r w:rsidR="00A64294">
              <w:rPr>
                <w:rFonts w:ascii="宋体" w:hAnsi="宋体" w:hint="eastAsia"/>
                <w:bCs/>
                <w:color w:val="000000"/>
                <w:szCs w:val="20"/>
              </w:rPr>
              <w:t>媒体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营销方案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24055C" w:rsidRDefault="0024055C" w:rsidP="002405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24055C" w:rsidRDefault="0024055C" w:rsidP="0024055C"/>
    <w:p w:rsidR="0024055C" w:rsidRDefault="0024055C" w:rsidP="0024055C">
      <w:pPr>
        <w:spacing w:line="288" w:lineRule="auto"/>
        <w:ind w:leftChars="202" w:left="424" w:firstLineChars="200" w:firstLine="420"/>
      </w:pPr>
    </w:p>
    <w:p w:rsidR="0024055C" w:rsidRDefault="001E0435" w:rsidP="0024055C">
      <w:pPr>
        <w:spacing w:line="288" w:lineRule="auto"/>
        <w:ind w:leftChars="202" w:left="424" w:firstLineChars="200" w:firstLine="42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125730</wp:posOffset>
            </wp:positionV>
            <wp:extent cx="518160" cy="46318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9012235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63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125730</wp:posOffset>
            </wp:positionV>
            <wp:extent cx="770316" cy="4273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叶晶晶电子签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1" cy="42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55C" w:rsidRPr="001307A8" w:rsidRDefault="0024055C" w:rsidP="0024055C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               </w:t>
      </w:r>
      <w:r w:rsidRPr="001307A8">
        <w:rPr>
          <w:rFonts w:hint="eastAsia"/>
        </w:rPr>
        <w:t>系主任审核：</w:t>
      </w:r>
    </w:p>
    <w:p w:rsidR="0024055C" w:rsidRPr="003162B5" w:rsidRDefault="0024055C" w:rsidP="0024055C"/>
    <w:p w:rsidR="0009332A" w:rsidRPr="0024055C" w:rsidRDefault="0009332A" w:rsidP="0009332A">
      <w:pPr>
        <w:snapToGrid w:val="0"/>
        <w:spacing w:line="288" w:lineRule="auto"/>
        <w:ind w:left="358" w:right="2520" w:hanging="1"/>
      </w:pPr>
    </w:p>
    <w:p w:rsidR="0009332A" w:rsidRDefault="0009332A" w:rsidP="0009332A">
      <w:pPr>
        <w:snapToGrid w:val="0"/>
        <w:spacing w:line="288" w:lineRule="auto"/>
      </w:pPr>
    </w:p>
    <w:p w:rsidR="00CD6CC1" w:rsidRPr="0009332A" w:rsidRDefault="00CD6CC1">
      <w:bookmarkStart w:id="0" w:name="_GoBack"/>
      <w:bookmarkEnd w:id="0"/>
    </w:p>
    <w:sectPr w:rsidR="00CD6CC1" w:rsidRPr="0009332A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2D" w:rsidRDefault="00E5622D" w:rsidP="0009332A">
      <w:r>
        <w:separator/>
      </w:r>
    </w:p>
  </w:endnote>
  <w:endnote w:type="continuationSeparator" w:id="0">
    <w:p w:rsidR="00E5622D" w:rsidRDefault="00E5622D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2D" w:rsidRDefault="00E5622D" w:rsidP="0009332A">
      <w:r>
        <w:separator/>
      </w:r>
    </w:p>
  </w:footnote>
  <w:footnote w:type="continuationSeparator" w:id="0">
    <w:p w:rsidR="00E5622D" w:rsidRDefault="00E5622D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1D"/>
    <w:rsid w:val="000175CC"/>
    <w:rsid w:val="000323CD"/>
    <w:rsid w:val="00037061"/>
    <w:rsid w:val="00037810"/>
    <w:rsid w:val="00051FB3"/>
    <w:rsid w:val="00057945"/>
    <w:rsid w:val="000862F1"/>
    <w:rsid w:val="0009332A"/>
    <w:rsid w:val="000E4ECA"/>
    <w:rsid w:val="000F41B8"/>
    <w:rsid w:val="00104DDC"/>
    <w:rsid w:val="00115E2D"/>
    <w:rsid w:val="00142E86"/>
    <w:rsid w:val="0015234F"/>
    <w:rsid w:val="0015477C"/>
    <w:rsid w:val="001563C4"/>
    <w:rsid w:val="0016606E"/>
    <w:rsid w:val="00177A5E"/>
    <w:rsid w:val="00180B5E"/>
    <w:rsid w:val="00193BC9"/>
    <w:rsid w:val="001D0A06"/>
    <w:rsid w:val="001E0435"/>
    <w:rsid w:val="001E2B8C"/>
    <w:rsid w:val="001F0279"/>
    <w:rsid w:val="001F1906"/>
    <w:rsid w:val="0024055C"/>
    <w:rsid w:val="0027551D"/>
    <w:rsid w:val="00283EB7"/>
    <w:rsid w:val="002A4CAE"/>
    <w:rsid w:val="002B3167"/>
    <w:rsid w:val="002E0E95"/>
    <w:rsid w:val="00375F8F"/>
    <w:rsid w:val="00380F3C"/>
    <w:rsid w:val="003840D5"/>
    <w:rsid w:val="003C57A3"/>
    <w:rsid w:val="003F220E"/>
    <w:rsid w:val="00402A3C"/>
    <w:rsid w:val="00444FBE"/>
    <w:rsid w:val="004554C1"/>
    <w:rsid w:val="00494661"/>
    <w:rsid w:val="004B6C02"/>
    <w:rsid w:val="004F028A"/>
    <w:rsid w:val="00572E8B"/>
    <w:rsid w:val="005E0B76"/>
    <w:rsid w:val="005E1D51"/>
    <w:rsid w:val="006150AA"/>
    <w:rsid w:val="00650FA7"/>
    <w:rsid w:val="006853DD"/>
    <w:rsid w:val="006D1F26"/>
    <w:rsid w:val="006E43B7"/>
    <w:rsid w:val="006F386C"/>
    <w:rsid w:val="00725485"/>
    <w:rsid w:val="00747D1A"/>
    <w:rsid w:val="007549F9"/>
    <w:rsid w:val="00765928"/>
    <w:rsid w:val="007734AA"/>
    <w:rsid w:val="0078649C"/>
    <w:rsid w:val="007C6166"/>
    <w:rsid w:val="007D5275"/>
    <w:rsid w:val="00806790"/>
    <w:rsid w:val="00813B00"/>
    <w:rsid w:val="0088703E"/>
    <w:rsid w:val="00893DE9"/>
    <w:rsid w:val="00893F35"/>
    <w:rsid w:val="008A101B"/>
    <w:rsid w:val="008B1DC9"/>
    <w:rsid w:val="008C6CA9"/>
    <w:rsid w:val="008F6EA0"/>
    <w:rsid w:val="00905063"/>
    <w:rsid w:val="009571BD"/>
    <w:rsid w:val="00967FED"/>
    <w:rsid w:val="00975B01"/>
    <w:rsid w:val="0099636C"/>
    <w:rsid w:val="009A0C6E"/>
    <w:rsid w:val="009C1895"/>
    <w:rsid w:val="009E7C1F"/>
    <w:rsid w:val="00A04B70"/>
    <w:rsid w:val="00A1671C"/>
    <w:rsid w:val="00A36DA4"/>
    <w:rsid w:val="00A61886"/>
    <w:rsid w:val="00A64294"/>
    <w:rsid w:val="00AA2547"/>
    <w:rsid w:val="00AA4443"/>
    <w:rsid w:val="00AB5AC0"/>
    <w:rsid w:val="00AC70A4"/>
    <w:rsid w:val="00AC7548"/>
    <w:rsid w:val="00B4769B"/>
    <w:rsid w:val="00B53703"/>
    <w:rsid w:val="00B61D0E"/>
    <w:rsid w:val="00B66D25"/>
    <w:rsid w:val="00B8363E"/>
    <w:rsid w:val="00B86F8D"/>
    <w:rsid w:val="00BC5616"/>
    <w:rsid w:val="00BF1CF5"/>
    <w:rsid w:val="00C26126"/>
    <w:rsid w:val="00C35CEE"/>
    <w:rsid w:val="00C7262D"/>
    <w:rsid w:val="00CD6CC1"/>
    <w:rsid w:val="00D01A3D"/>
    <w:rsid w:val="00D03B94"/>
    <w:rsid w:val="00D14959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5622D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3C24"/>
    <w:rsid w:val="00F149C5"/>
    <w:rsid w:val="00F75CF2"/>
    <w:rsid w:val="00FA6A55"/>
    <w:rsid w:val="00FB46C4"/>
    <w:rsid w:val="00FD6BC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86E60"/>
  <w15:docId w15:val="{11F5498A-56BD-4F66-AE23-1A8E9FF9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 </cp:lastModifiedBy>
  <cp:revision>61</cp:revision>
  <dcterms:created xsi:type="dcterms:W3CDTF">2013-08-28T10:29:00Z</dcterms:created>
  <dcterms:modified xsi:type="dcterms:W3CDTF">2019-09-01T14:39:00Z</dcterms:modified>
</cp:coreProperties>
</file>