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1ZHmtQAAAAIAQAADwAAAAAAAAABACAAAAAiAAAAZHJzL2Rvd25y&#10;ZXYueG1sUEsBAhQAFAAAAAgAh07iQJcm3UI7AgAATw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【财会基础】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【Accounting】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30" w:firstLineChars="150"/>
        <w:rPr>
          <w:b/>
          <w:color w:val="008080"/>
          <w:sz w:val="22"/>
        </w:rPr>
      </w:pPr>
      <w:r>
        <w:rPr>
          <w:rFonts w:ascii="黑体" w:hAnsi="宋体" w:eastAsia="黑体"/>
          <w:sz w:val="22"/>
        </w:rPr>
        <w:t>一</w:t>
      </w:r>
      <w:r>
        <w:rPr>
          <w:rFonts w:hint="eastAsia" w:ascii="黑体" w:hAnsi="宋体" w:eastAsia="黑体"/>
          <w:sz w:val="22"/>
        </w:rPr>
        <w:t>、</w:t>
      </w:r>
      <w:r>
        <w:rPr>
          <w:rFonts w:ascii="黑体" w:hAnsi="宋体" w:eastAsia="黑体"/>
          <w:sz w:val="22"/>
        </w:rPr>
        <w:t>基本信息（必填项）</w:t>
      </w:r>
    </w:p>
    <w:p>
      <w:pPr>
        <w:snapToGrid w:val="0"/>
        <w:spacing w:line="288" w:lineRule="auto"/>
        <w:ind w:firstLine="433" w:firstLineChars="196"/>
        <w:rPr>
          <w:color w:val="000000"/>
          <w:sz w:val="22"/>
        </w:rPr>
      </w:pPr>
      <w:r>
        <w:rPr>
          <w:b/>
          <w:bCs/>
          <w:color w:val="000000"/>
          <w:sz w:val="22"/>
        </w:rPr>
        <w:t>课程代码：</w:t>
      </w:r>
      <w:r>
        <w:rPr>
          <w:color w:val="000000"/>
          <w:sz w:val="22"/>
        </w:rPr>
        <w:t>【</w:t>
      </w:r>
      <w:r>
        <w:rPr>
          <w:rFonts w:hint="eastAsia"/>
          <w:color w:val="000000"/>
          <w:sz w:val="22"/>
        </w:rPr>
        <w:t>2030514</w:t>
      </w:r>
      <w:r>
        <w:rPr>
          <w:color w:val="000000"/>
          <w:sz w:val="22"/>
        </w:rPr>
        <w:t>】</w:t>
      </w:r>
    </w:p>
    <w:p>
      <w:pPr>
        <w:snapToGrid w:val="0"/>
        <w:spacing w:line="288" w:lineRule="auto"/>
        <w:ind w:firstLine="433" w:firstLineChars="196"/>
        <w:rPr>
          <w:color w:val="000000"/>
          <w:sz w:val="22"/>
        </w:rPr>
      </w:pPr>
      <w:r>
        <w:rPr>
          <w:b/>
          <w:bCs/>
          <w:color w:val="000000"/>
          <w:sz w:val="22"/>
        </w:rPr>
        <w:t>课程学分：</w:t>
      </w:r>
      <w:r>
        <w:rPr>
          <w:color w:val="000000"/>
          <w:sz w:val="22"/>
        </w:rPr>
        <w:t>【</w:t>
      </w:r>
      <w:r>
        <w:rPr>
          <w:rFonts w:ascii="宋体" w:hAnsi="宋体" w:cs="宋体"/>
          <w:sz w:val="22"/>
        </w:rPr>
        <w:t>2.0</w:t>
      </w:r>
      <w:r>
        <w:rPr>
          <w:color w:val="000000"/>
          <w:sz w:val="22"/>
        </w:rPr>
        <w:t>】</w:t>
      </w:r>
    </w:p>
    <w:p>
      <w:pPr>
        <w:snapToGrid w:val="0"/>
        <w:spacing w:line="288" w:lineRule="auto"/>
        <w:ind w:firstLine="433" w:firstLineChars="196"/>
        <w:rPr>
          <w:color w:val="000000"/>
          <w:sz w:val="22"/>
        </w:rPr>
      </w:pPr>
      <w:r>
        <w:rPr>
          <w:b/>
          <w:bCs/>
          <w:color w:val="000000"/>
          <w:sz w:val="22"/>
        </w:rPr>
        <w:t>面向专业：</w:t>
      </w:r>
      <w:r>
        <w:rPr>
          <w:color w:val="000000"/>
          <w:sz w:val="22"/>
        </w:rPr>
        <w:t>【</w:t>
      </w:r>
      <w:r>
        <w:rPr>
          <w:rFonts w:ascii="宋体" w:hAnsi="宋体" w:cs="宋体"/>
          <w:sz w:val="22"/>
        </w:rPr>
        <w:t>秘书</w:t>
      </w:r>
      <w:r>
        <w:rPr>
          <w:color w:val="000000"/>
          <w:sz w:val="22"/>
        </w:rPr>
        <w:t>】</w:t>
      </w:r>
    </w:p>
    <w:p>
      <w:pPr>
        <w:snapToGrid w:val="0"/>
        <w:spacing w:line="288" w:lineRule="auto"/>
        <w:ind w:firstLine="433" w:firstLineChars="196"/>
        <w:rPr>
          <w:color w:val="000000"/>
          <w:sz w:val="22"/>
        </w:rPr>
      </w:pPr>
      <w:r>
        <w:rPr>
          <w:b/>
          <w:bCs/>
          <w:color w:val="000000"/>
          <w:sz w:val="22"/>
        </w:rPr>
        <w:t>课程性质：</w:t>
      </w:r>
      <w:r>
        <w:rPr>
          <w:color w:val="000000"/>
          <w:sz w:val="22"/>
        </w:rPr>
        <w:t>【</w:t>
      </w:r>
      <w:r>
        <w:rPr>
          <w:rFonts w:ascii="宋体" w:hAnsi="宋体" w:cs="宋体"/>
          <w:sz w:val="22"/>
        </w:rPr>
        <w:t>专业限选课</w:t>
      </w:r>
      <w:r>
        <w:rPr>
          <w:color w:val="000000"/>
          <w:sz w:val="22"/>
        </w:rPr>
        <w:t>】</w:t>
      </w:r>
    </w:p>
    <w:p>
      <w:pPr>
        <w:snapToGrid w:val="0"/>
        <w:spacing w:line="288" w:lineRule="auto"/>
        <w:ind w:firstLine="433" w:firstLineChars="196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开课院系：</w:t>
      </w:r>
      <w:r>
        <w:rPr>
          <w:rFonts w:hint="eastAsia"/>
          <w:b/>
          <w:bCs/>
          <w:color w:val="000000"/>
          <w:sz w:val="22"/>
        </w:rPr>
        <w:t>新闻传播学院</w:t>
      </w:r>
    </w:p>
    <w:p>
      <w:pPr>
        <w:snapToGrid w:val="0"/>
        <w:spacing w:line="288" w:lineRule="auto"/>
        <w:ind w:firstLine="433" w:firstLineChars="196"/>
        <w:rPr>
          <w:color w:val="000000"/>
          <w:sz w:val="22"/>
        </w:rPr>
      </w:pPr>
      <w:r>
        <w:rPr>
          <w:b/>
          <w:bCs/>
          <w:color w:val="000000"/>
          <w:sz w:val="22"/>
        </w:rPr>
        <w:t>使用教材：</w:t>
      </w:r>
    </w:p>
    <w:p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0"/>
          <w:szCs w:val="20"/>
        </w:rPr>
      </w:pPr>
      <w:r>
        <w:rPr>
          <w:rFonts w:hint="eastAsia" w:ascii="宋体" w:hAnsi="Times New Roman" w:cs="宋体"/>
          <w:kern w:val="0"/>
          <w:sz w:val="20"/>
          <w:szCs w:val="20"/>
        </w:rPr>
        <w:t>主教材【会计学原理，刘爱香主编，北京大学出版社，</w:t>
      </w:r>
      <w:r>
        <w:rPr>
          <w:rFonts w:ascii="宋体" w:hAnsi="Times New Roman" w:cs="宋体"/>
          <w:kern w:val="0"/>
          <w:sz w:val="20"/>
          <w:szCs w:val="20"/>
        </w:rPr>
        <w:t xml:space="preserve">2015 </w:t>
      </w:r>
      <w:r>
        <w:rPr>
          <w:rFonts w:hint="eastAsia" w:ascii="宋体" w:hAnsi="Times New Roman" w:cs="宋体"/>
          <w:kern w:val="0"/>
          <w:sz w:val="20"/>
          <w:szCs w:val="20"/>
        </w:rPr>
        <w:t>年</w:t>
      </w:r>
      <w:r>
        <w:rPr>
          <w:rFonts w:ascii="宋体" w:hAnsi="Times New Roman" w:cs="宋体"/>
          <w:kern w:val="0"/>
          <w:sz w:val="20"/>
          <w:szCs w:val="20"/>
        </w:rPr>
        <w:t xml:space="preserve">9 </w:t>
      </w:r>
      <w:r>
        <w:rPr>
          <w:rFonts w:hint="eastAsia" w:ascii="宋体" w:hAnsi="Times New Roman" w:cs="宋体"/>
          <w:kern w:val="0"/>
          <w:sz w:val="20"/>
          <w:szCs w:val="20"/>
        </w:rPr>
        <w:t>月】</w:t>
      </w:r>
    </w:p>
    <w:p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0"/>
          <w:szCs w:val="20"/>
        </w:rPr>
      </w:pPr>
      <w:r>
        <w:rPr>
          <w:rFonts w:hint="eastAsia" w:ascii="宋体" w:hAnsi="Times New Roman" w:cs="宋体"/>
          <w:kern w:val="0"/>
          <w:sz w:val="20"/>
          <w:szCs w:val="20"/>
        </w:rPr>
        <w:t>辅助教材【会计学原理习题与实验，石启辉主编，北京大学出版社，</w:t>
      </w:r>
      <w:r>
        <w:rPr>
          <w:rFonts w:ascii="宋体" w:hAnsi="Times New Roman" w:cs="宋体"/>
          <w:kern w:val="0"/>
          <w:sz w:val="20"/>
          <w:szCs w:val="20"/>
        </w:rPr>
        <w:t xml:space="preserve">2015 </w:t>
      </w:r>
      <w:r>
        <w:rPr>
          <w:rFonts w:hint="eastAsia" w:ascii="宋体" w:hAnsi="Times New Roman" w:cs="宋体"/>
          <w:kern w:val="0"/>
          <w:sz w:val="20"/>
          <w:szCs w:val="20"/>
        </w:rPr>
        <w:t>年</w:t>
      </w:r>
      <w:r>
        <w:rPr>
          <w:rFonts w:ascii="宋体" w:hAnsi="Times New Roman" w:cs="宋体"/>
          <w:kern w:val="0"/>
          <w:sz w:val="20"/>
          <w:szCs w:val="20"/>
        </w:rPr>
        <w:t xml:space="preserve">9 </w:t>
      </w:r>
      <w:r>
        <w:rPr>
          <w:rFonts w:hint="eastAsia" w:ascii="宋体" w:hAnsi="Times New Roman" w:cs="宋体"/>
          <w:kern w:val="0"/>
          <w:sz w:val="20"/>
          <w:szCs w:val="20"/>
        </w:rPr>
        <w:t>月】</w:t>
      </w:r>
    </w:p>
    <w:p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0"/>
          <w:szCs w:val="20"/>
        </w:rPr>
      </w:pPr>
      <w:r>
        <w:rPr>
          <w:rFonts w:hint="eastAsia" w:ascii="宋体" w:hAnsi="Times New Roman" w:cs="宋体"/>
          <w:kern w:val="0"/>
          <w:sz w:val="20"/>
          <w:szCs w:val="20"/>
        </w:rPr>
        <w:t>参考教材【会计学，辛金国、林素燕主编，清华大学出版社，</w:t>
      </w:r>
      <w:r>
        <w:rPr>
          <w:rFonts w:ascii="宋体" w:hAnsi="Times New Roman" w:cs="宋体"/>
          <w:kern w:val="0"/>
          <w:sz w:val="20"/>
          <w:szCs w:val="20"/>
        </w:rPr>
        <w:t xml:space="preserve">2011 </w:t>
      </w:r>
      <w:r>
        <w:rPr>
          <w:rFonts w:hint="eastAsia" w:ascii="宋体" w:hAnsi="Times New Roman" w:cs="宋体"/>
          <w:kern w:val="0"/>
          <w:sz w:val="20"/>
          <w:szCs w:val="20"/>
        </w:rPr>
        <w:t>年</w:t>
      </w:r>
      <w:r>
        <w:rPr>
          <w:rFonts w:ascii="宋体" w:hAnsi="Times New Roman" w:cs="宋体"/>
          <w:kern w:val="0"/>
          <w:sz w:val="20"/>
          <w:szCs w:val="20"/>
        </w:rPr>
        <w:t xml:space="preserve">5 </w:t>
      </w:r>
      <w:r>
        <w:rPr>
          <w:rFonts w:hint="eastAsia" w:ascii="宋体" w:hAnsi="Times New Roman" w:cs="宋体"/>
          <w:kern w:val="0"/>
          <w:sz w:val="20"/>
          <w:szCs w:val="20"/>
        </w:rPr>
        <w:t>月】</w:t>
      </w:r>
    </w:p>
    <w:p>
      <w:pPr>
        <w:snapToGrid w:val="0"/>
        <w:spacing w:line="288" w:lineRule="auto"/>
        <w:rPr>
          <w:rFonts w:ascii="宋体" w:hAnsi="Times New Roman" w:cs="宋体"/>
          <w:kern w:val="0"/>
          <w:sz w:val="20"/>
          <w:szCs w:val="20"/>
        </w:rPr>
      </w:pPr>
      <w:r>
        <w:rPr>
          <w:rFonts w:hint="eastAsia" w:ascii="宋体" w:hAnsi="Times New Roman" w:cs="宋体"/>
          <w:kern w:val="0"/>
          <w:sz w:val="20"/>
          <w:szCs w:val="20"/>
        </w:rPr>
        <w:t>参考资料【企业会计准则，财政部会计司编写组，人民出版社，</w:t>
      </w:r>
      <w:r>
        <w:rPr>
          <w:rFonts w:ascii="宋体" w:hAnsi="Times New Roman" w:cs="宋体"/>
          <w:kern w:val="0"/>
          <w:sz w:val="20"/>
          <w:szCs w:val="20"/>
        </w:rPr>
        <w:t xml:space="preserve">2010 </w:t>
      </w:r>
      <w:r>
        <w:rPr>
          <w:rFonts w:hint="eastAsia" w:ascii="宋体" w:hAnsi="Times New Roman" w:cs="宋体"/>
          <w:kern w:val="0"/>
          <w:sz w:val="20"/>
          <w:szCs w:val="20"/>
        </w:rPr>
        <w:t>年</w:t>
      </w:r>
      <w:r>
        <w:rPr>
          <w:rFonts w:ascii="宋体" w:hAnsi="Times New Roman" w:cs="宋体"/>
          <w:kern w:val="0"/>
          <w:sz w:val="20"/>
          <w:szCs w:val="20"/>
        </w:rPr>
        <w:t xml:space="preserve">10 </w:t>
      </w:r>
      <w:r>
        <w:rPr>
          <w:rFonts w:hint="eastAsia" w:ascii="宋体" w:hAnsi="Times New Roman" w:cs="宋体"/>
          <w:kern w:val="0"/>
          <w:sz w:val="20"/>
          <w:szCs w:val="20"/>
        </w:rPr>
        <w:t>月】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https://elearning.gench.edu.cn:8443/webapps/bb-group-mgmt-LEARN/execute/groupInventoryList?course_id=_14344_1&amp;mode=cpview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 w:ascii="宋体" w:hAnsi="Times New Roman" w:cs="宋体"/>
          <w:kern w:val="0"/>
          <w:sz w:val="20"/>
          <w:szCs w:val="20"/>
        </w:rPr>
        <w:t>：【微观经济学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2060152</w:t>
      </w:r>
      <w:r>
        <w:rPr>
          <w:rFonts w:hint="eastAsia" w:ascii="宋体" w:hAnsi="Times New Roman" w:cs="宋体"/>
          <w:kern w:val="0"/>
          <w:sz w:val="20"/>
          <w:szCs w:val="20"/>
        </w:rPr>
        <w:t>（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3</w:t>
      </w:r>
      <w:r>
        <w:rPr>
          <w:rFonts w:hint="eastAsia" w:ascii="宋体" w:hAnsi="Times New Roman" w:cs="宋体"/>
          <w:kern w:val="0"/>
          <w:sz w:val="20"/>
          <w:szCs w:val="20"/>
        </w:rPr>
        <w:t>）；宏观经济学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2060070</w:t>
      </w:r>
      <w:r>
        <w:rPr>
          <w:rFonts w:hint="eastAsia" w:ascii="宋体" w:hAnsi="Times New Roman" w:cs="宋体"/>
          <w:kern w:val="0"/>
          <w:sz w:val="20"/>
          <w:szCs w:val="20"/>
        </w:rPr>
        <w:t>（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3</w:t>
      </w:r>
      <w:r>
        <w:rPr>
          <w:rFonts w:hint="eastAsia" w:ascii="宋体" w:hAnsi="Times New Roman" w:cs="宋体"/>
          <w:kern w:val="0"/>
          <w:sz w:val="20"/>
          <w:szCs w:val="20"/>
        </w:rPr>
        <w:t>）；管理学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2060045</w:t>
      </w:r>
      <w:r>
        <w:rPr>
          <w:rFonts w:hint="eastAsia" w:ascii="宋体" w:hAnsi="Times New Roman" w:cs="宋体"/>
          <w:kern w:val="0"/>
          <w:sz w:val="20"/>
          <w:szCs w:val="20"/>
        </w:rPr>
        <w:t>（</w:t>
      </w:r>
      <w:r>
        <w:rPr>
          <w:rFonts w:ascii="TimesNewRomanPSMT" w:hAnsi="Times New Roman" w:eastAsia="TimesNewRomanPSMT" w:cs="TimesNewRomanPSMT"/>
          <w:kern w:val="0"/>
          <w:sz w:val="20"/>
          <w:szCs w:val="20"/>
        </w:rPr>
        <w:t>3</w:t>
      </w:r>
      <w:r>
        <w:rPr>
          <w:rFonts w:hint="eastAsia" w:ascii="宋体" w:hAnsi="Times New Roman" w:cs="宋体"/>
          <w:kern w:val="0"/>
          <w:sz w:val="20"/>
          <w:szCs w:val="20"/>
        </w:rPr>
        <w:t>）】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40" w:firstLineChars="200"/>
        <w:rPr>
          <w:color w:val="000000"/>
          <w:sz w:val="22"/>
          <w:szCs w:val="20"/>
        </w:rPr>
      </w:pPr>
      <w:r>
        <w:rPr>
          <w:rFonts w:hint="eastAsia"/>
          <w:color w:val="000000"/>
          <w:sz w:val="22"/>
          <w:szCs w:val="20"/>
        </w:rPr>
        <w:t>本课程主要介绍了会计的基本理论、基本方法和基本技能。包括对会计的定义、会计核算的职能、会计核算的对象、会计核算方法、会计核算的基本前提和一般性原则、会计要素和会计等式等基本理论的讲解；详细阐述会计科目和账户的设置、复式记账原理、成本计算和财产清查、会计核算程序、会计工作组织等基本核算方法；全面介绍了会计凭证的填制、账簿的登记和会计报表的编制等基本技能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40" w:firstLineChars="200"/>
        <w:rPr>
          <w:color w:val="000000"/>
          <w:sz w:val="22"/>
          <w:szCs w:val="20"/>
        </w:rPr>
      </w:pPr>
      <w:r>
        <w:rPr>
          <w:rFonts w:hint="eastAsia"/>
          <w:color w:val="000000"/>
          <w:sz w:val="22"/>
          <w:szCs w:val="20"/>
        </w:rPr>
        <w:t>《基础会计》是会计学科的入门课程，也是财务会计专业的专业基础课，是学习初级财务会计、中级财务会计、成本会计、管理会计和财务管理等专业课程的基础。对于秘书学专业的学生来讲，学习本课程是了解会计基本理论和基本方法的途径，它有助于完善学生的专业知识结构，扩大学生的知识面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7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LO31：收集、处理信息，调查研究，能够辅助领导确定决策目标、拟定及实施决策方案，及时向领导反馈落实情况。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LO33：掌握基础的商务和管理知识。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LO41：遵纪守法：遵守校纪校规，具备法律意识。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LO51：了解行业前沿知识技术。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LO61：能使用合适的软件来搜集和分析所需的信息数据。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案列分析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小组讨论案列分析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掌握基础的商务和管理知识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课堂讲学与做习题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考试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课堂讲学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考试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了解行业前沿知识技术。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课堂讲学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考试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能使用合适的软件来搜集和分析所需的信息数据。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课堂讲学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案列分析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操作软件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考试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课堂表现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了解会计核算基本假设和会计信息质量要求；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熟悉会计要素与会计等式；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熟悉会计科目与会计账户的关系；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能初步应用借贷记账法分析简单的经济业务，并编制会计分录；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熟悉原始凭证和记账凭证的填制及审核要求；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熟悉账簿种类及其登记方法；</w:t>
      </w:r>
    </w:p>
    <w:p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熟悉错账更正方法的适用性和操作方法；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tbl>
      <w:tblPr>
        <w:tblStyle w:val="6"/>
        <w:tblW w:w="89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48"/>
        <w:gridCol w:w="2940"/>
        <w:gridCol w:w="709"/>
        <w:gridCol w:w="1434"/>
        <w:gridCol w:w="360"/>
        <w:gridCol w:w="776"/>
        <w:gridCol w:w="1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序号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任务</w:t>
            </w:r>
          </w:p>
        </w:tc>
        <w:tc>
          <w:tcPr>
            <w:tcW w:w="2940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知识要求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参考学时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场地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师资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12"/>
                <w:szCs w:val="21"/>
              </w:rPr>
            </w:pPr>
            <w:r>
              <w:rPr>
                <w:rFonts w:hint="eastAsia" w:ascii="黑体" w:eastAsia="黑体"/>
                <w:spacing w:val="-12"/>
                <w:szCs w:val="21"/>
              </w:rPr>
              <w:t>实施说明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1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会计基础知识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（总论）</w:t>
            </w: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1、了解会计的发展史；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2、理解会计的目标、内容、方法、特点和性质，理解会计的本质；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3、理解会计准则；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4、掌握会计的含义和职能。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eastAsiaTheme="minorEastAsia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pos="717"/>
              </w:tabs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12"/>
                <w:sz w:val="18"/>
                <w:szCs w:val="18"/>
              </w:rPr>
              <w:t>“双师型”教师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exact"/>
              <w:ind w:right="-153" w:rightChars="-73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２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会计要素及会计平衡公式</w:t>
            </w: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1、了解资金运动及资产和权益的关系；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2、掌握每个会计要素的概念及特征；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3、掌握会计恒等关系式。</w:t>
            </w:r>
          </w:p>
          <w:p>
            <w:pPr>
              <w:ind w:left="12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“双师型”教师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  <w:p>
            <w:pPr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3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账户和复式记账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1、了解账户的含义及其结构；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2、了解会计科目的含义及其与账户的关系；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3、掌握复式记账法的含义及复式记账法的原理与科学性；</w:t>
            </w:r>
          </w:p>
          <w:p>
            <w:pPr>
              <w:tabs>
                <w:tab w:val="left" w:pos="1530"/>
              </w:tabs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4、掌握借贷记账法的记账符号、记账方法和账户结构、记账规则及试算平衡。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“双师型”教师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4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主要经济业务核算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1、筹集资金业务所涉及的相关账户及核算；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2、供应业务所涉及的相关账户及核算；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3、生产过程业务所涉及的相关账户及核算；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4、销售业务所涉及的相关账户及核算；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5、利润形成与分配的核算；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6、成本计算的核算。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right="8" w:rightChars="4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  <w:p>
            <w:pPr>
              <w:adjustRightInd w:val="0"/>
              <w:snapToGrid w:val="0"/>
              <w:spacing w:line="240" w:lineRule="exact"/>
              <w:ind w:right="8" w:rightChars="4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“双师型”教师</w:t>
            </w: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539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5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会计凭证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1、了解会计凭证的含义，作用及分类；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2、了解原始凭证的分类，填制方法、填制要求及审核；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3、掌握记账凭证的分类，掌握专用记账凭证的填制方法、填制要求及审核。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“双师型”教师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6</w:t>
            </w:r>
          </w:p>
        </w:tc>
        <w:tc>
          <w:tcPr>
            <w:tcW w:w="948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会计账簿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94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1、账簿的基本内容；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2、账簿的设置、登记和登账规则；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3、账簿的错账更正方法；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4、账簿的启用、更换和保管。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多媒体教室</w:t>
            </w: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“双师型”教师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多媒体教学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spacing w:val="-12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9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5083" w:type="dxa"/>
            <w:gridSpan w:val="3"/>
            <w:vAlign w:val="center"/>
          </w:tcPr>
          <w:p>
            <w:pPr>
              <w:pStyle w:val="4"/>
              <w:spacing w:line="360" w:lineRule="atLeas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32</w:t>
            </w:r>
          </w:p>
        </w:tc>
        <w:tc>
          <w:tcPr>
            <w:tcW w:w="2378" w:type="dxa"/>
            <w:gridSpan w:val="3"/>
          </w:tcPr>
          <w:p>
            <w:pPr>
              <w:pStyle w:val="4"/>
              <w:spacing w:line="36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备注：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课堂表现，</w:t>
            </w:r>
            <w:r>
              <w:rPr>
                <w:rFonts w:hint="eastAsia" w:ascii="宋体" w:hAnsi="宋体"/>
                <w:sz w:val="20"/>
                <w:szCs w:val="20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课堂表现，</w:t>
            </w:r>
            <w:r>
              <w:rPr>
                <w:rFonts w:hint="eastAsia" w:ascii="宋体" w:hAnsi="宋体"/>
                <w:sz w:val="20"/>
                <w:szCs w:val="20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课堂表现，</w:t>
            </w:r>
            <w:r>
              <w:rPr>
                <w:rFonts w:hint="eastAsia" w:ascii="宋体" w:hAnsi="宋体"/>
                <w:sz w:val="20"/>
                <w:szCs w:val="20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bookmarkEnd w:id="1"/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撰写人：曹颖照     系主任审核签名：徐磊    审核时间：2018.3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01B"/>
    <w:multiLevelType w:val="multilevel"/>
    <w:tmpl w:val="5252601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461D1"/>
    <w:rsid w:val="001072BC"/>
    <w:rsid w:val="00127953"/>
    <w:rsid w:val="001C6C35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6310CB"/>
    <w:rsid w:val="00632D25"/>
    <w:rsid w:val="00633DC8"/>
    <w:rsid w:val="006E7E3C"/>
    <w:rsid w:val="007208D6"/>
    <w:rsid w:val="007F60AC"/>
    <w:rsid w:val="00805819"/>
    <w:rsid w:val="008B397C"/>
    <w:rsid w:val="008B47F4"/>
    <w:rsid w:val="00900019"/>
    <w:rsid w:val="0099063E"/>
    <w:rsid w:val="00A0377B"/>
    <w:rsid w:val="00A769B1"/>
    <w:rsid w:val="00A77720"/>
    <w:rsid w:val="00AC4C45"/>
    <w:rsid w:val="00B46F21"/>
    <w:rsid w:val="00B511A5"/>
    <w:rsid w:val="00B736A7"/>
    <w:rsid w:val="00B7651F"/>
    <w:rsid w:val="00C56E09"/>
    <w:rsid w:val="00CF096B"/>
    <w:rsid w:val="00D10FD0"/>
    <w:rsid w:val="00D712EC"/>
    <w:rsid w:val="00D927C6"/>
    <w:rsid w:val="00DA6EBB"/>
    <w:rsid w:val="00DF16A0"/>
    <w:rsid w:val="00E00612"/>
    <w:rsid w:val="00E16D30"/>
    <w:rsid w:val="00E33169"/>
    <w:rsid w:val="00E70904"/>
    <w:rsid w:val="00EF44B1"/>
    <w:rsid w:val="00F35AA0"/>
    <w:rsid w:val="024B0C39"/>
    <w:rsid w:val="0A8128A6"/>
    <w:rsid w:val="0BF32A1B"/>
    <w:rsid w:val="0D7D1146"/>
    <w:rsid w:val="0F831752"/>
    <w:rsid w:val="10BD2C22"/>
    <w:rsid w:val="22987C80"/>
    <w:rsid w:val="24192CCC"/>
    <w:rsid w:val="36814520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459</Words>
  <Characters>2619</Characters>
  <Lines>21</Lines>
  <Paragraphs>6</Paragraphs>
  <TotalTime>0</TotalTime>
  <ScaleCrop>false</ScaleCrop>
  <LinksUpToDate>false</LinksUpToDate>
  <CharactersWithSpaces>3072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2018-03-12T02:52:00Z</dcterms:created>
  <dc:creator>juvg</dc:creator>
  <cp:lastModifiedBy>Administrator</cp:lastModifiedBy>
  <dcterms:modified xsi:type="dcterms:W3CDTF">2018-03-17T07:14:52Z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