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Theme="majorBidi" w:hAnsiTheme="majorBidi" w:cstheme="majorBidi"/>
          <w:bCs/>
          <w:kern w:val="0"/>
          <w:szCs w:val="21"/>
        </w:rPr>
      </w:pPr>
      <w:r>
        <w:rPr>
          <w:rFonts w:asciiTheme="majorBidi" w:hAnsiTheme="majorBidi" w:cstheme="majorBidi"/>
        </w:rPr>
        <w:pict>
          <v:shape id="文本框 1" o:spid="_x0000_s1026" o:spt="202" type="#_x0000_t202" style="position:absolute;left:0pt;margin-left:41.8pt;margin-top:27.55pt;height:22.1pt;width:207.5pt;mso-position-horizontal-relative:page;mso-position-vertical-relative:page;z-index:251658240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>
            <v:path/>
            <v:fill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</v:shape>
        </w:pict>
      </w:r>
      <w:r>
        <w:rPr>
          <w:rFonts w:asciiTheme="majorBidi" w:hAnsiTheme="majorBidi" w:eastAsiaTheme="minorEastAsia" w:cstheme="majorBidi"/>
          <w:bCs/>
          <w:kern w:val="0"/>
          <w:sz w:val="40"/>
          <w:szCs w:val="40"/>
        </w:rPr>
        <w:t>《</w:t>
      </w:r>
      <w:r>
        <w:rPr>
          <w:rFonts w:hint="eastAsia" w:asciiTheme="majorBidi" w:hAnsiTheme="majorBidi" w:eastAsiaTheme="minorEastAsia" w:cstheme="majorBidi"/>
          <w:bCs/>
          <w:kern w:val="0"/>
          <w:sz w:val="40"/>
          <w:szCs w:val="40"/>
        </w:rPr>
        <w:t>媒介法规与伦理</w:t>
      </w:r>
      <w:r>
        <w:rPr>
          <w:rFonts w:asciiTheme="majorBidi" w:hAnsiTheme="majorBidi" w:eastAsiaTheme="minorEastAsia" w:cstheme="majorBidi"/>
          <w:bCs/>
          <w:kern w:val="0"/>
          <w:sz w:val="40"/>
          <w:szCs w:val="40"/>
        </w:rPr>
        <w:t>》课程</w:t>
      </w:r>
      <w:r>
        <w:rPr>
          <w:rFonts w:hint="eastAsia" w:ascii="宋体" w:hAnsi="宋体" w:cs="宋体"/>
          <w:bCs/>
          <w:kern w:val="0"/>
          <w:sz w:val="40"/>
          <w:szCs w:val="40"/>
        </w:rPr>
        <w:t>教学大纲</w:t>
      </w:r>
    </w:p>
    <w:p>
      <w:pPr>
        <w:shd w:val="clear" w:color="auto" w:fill="F5F5F5"/>
        <w:spacing w:line="360" w:lineRule="auto"/>
        <w:jc w:val="center"/>
        <w:textAlignment w:val="top"/>
        <w:rPr>
          <w:rFonts w:asciiTheme="majorBidi" w:hAnsiTheme="majorBidi" w:cstheme="majorBidi"/>
          <w:color w:val="888888"/>
          <w:kern w:val="0"/>
          <w:sz w:val="20"/>
          <w:szCs w:val="20"/>
        </w:rPr>
      </w:pPr>
      <w:r>
        <w:rPr>
          <w:rFonts w:asciiTheme="majorBidi" w:hAnsiTheme="majorBidi" w:cstheme="majorBidi"/>
          <w:b/>
          <w:sz w:val="28"/>
          <w:szCs w:val="30"/>
        </w:rPr>
        <w:t>【Laws and Ethics of Media】</w:t>
      </w:r>
      <w:bookmarkStart w:id="0" w:name="a2"/>
      <w:bookmarkEnd w:id="0"/>
    </w:p>
    <w:p>
      <w:pPr>
        <w:spacing w:beforeLines="50" w:afterLines="50" w:line="360" w:lineRule="auto"/>
        <w:ind w:firstLine="360" w:firstLineChars="150"/>
        <w:rPr>
          <w:rFonts w:asciiTheme="majorBidi" w:hAnsiTheme="majorBidi" w:cstheme="majorBidi"/>
          <w:b/>
          <w:color w:val="008080"/>
          <w:sz w:val="30"/>
          <w:szCs w:val="30"/>
        </w:rPr>
      </w:pPr>
      <w:r>
        <w:rPr>
          <w:rFonts w:eastAsia="黑体" w:asciiTheme="majorBidi" w:hAnsiTheme="majorBidi" w:cstheme="majorBidi"/>
          <w:sz w:val="24"/>
        </w:rPr>
        <w:t>一、基本信息</w:t>
      </w:r>
    </w:p>
    <w:p>
      <w:pPr>
        <w:snapToGrid w:val="0"/>
        <w:spacing w:line="360" w:lineRule="auto"/>
        <w:ind w:firstLine="394" w:firstLineChars="196"/>
        <w:rPr>
          <w:rFonts w:asciiTheme="majorBidi" w:hAnsiTheme="majorBidi" w:cstheme="majorBidi"/>
          <w:color w:val="000000"/>
          <w:sz w:val="20"/>
          <w:szCs w:val="20"/>
        </w:rPr>
      </w:pP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课程代码：</w:t>
      </w:r>
      <w:r>
        <w:rPr>
          <w:rFonts w:asciiTheme="majorBidi" w:hAnsiTheme="majorBidi" w:cstheme="majorBidi"/>
          <w:color w:val="000000"/>
          <w:sz w:val="20"/>
          <w:szCs w:val="20"/>
        </w:rPr>
        <w:t>【2030</w:t>
      </w:r>
      <w:r>
        <w:rPr>
          <w:rFonts w:hint="default" w:asciiTheme="majorBidi" w:hAnsiTheme="majorBidi" w:cstheme="majorBidi"/>
          <w:color w:val="000000"/>
          <w:sz w:val="20"/>
          <w:szCs w:val="20"/>
          <w:lang w:val="en-US"/>
        </w:rPr>
        <w:t>523</w:t>
      </w:r>
      <w:r>
        <w:rPr>
          <w:rFonts w:asciiTheme="majorBidi" w:hAnsiTheme="majorBidi" w:cstheme="majorBidi"/>
          <w:color w:val="000000"/>
          <w:sz w:val="20"/>
          <w:szCs w:val="20"/>
        </w:rPr>
        <w:t>】</w:t>
      </w:r>
    </w:p>
    <w:p>
      <w:pPr>
        <w:snapToGrid w:val="0"/>
        <w:spacing w:line="360" w:lineRule="auto"/>
        <w:ind w:firstLine="394" w:firstLineChars="196"/>
        <w:rPr>
          <w:rFonts w:asciiTheme="majorBidi" w:hAnsiTheme="majorBidi" w:cstheme="majorBidi"/>
          <w:color w:val="000000"/>
          <w:szCs w:val="21"/>
        </w:rPr>
      </w:pP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课程学分：</w:t>
      </w:r>
      <w:r>
        <w:rPr>
          <w:rFonts w:asciiTheme="majorBidi" w:hAnsiTheme="majorBidi" w:cstheme="majorBidi"/>
          <w:color w:val="000000"/>
          <w:sz w:val="20"/>
          <w:szCs w:val="20"/>
        </w:rPr>
        <w:t>【2】</w:t>
      </w:r>
    </w:p>
    <w:p>
      <w:pPr>
        <w:snapToGrid w:val="0"/>
        <w:spacing w:line="360" w:lineRule="auto"/>
        <w:ind w:firstLine="394" w:firstLineChars="196"/>
        <w:rPr>
          <w:rFonts w:asciiTheme="majorBidi" w:hAnsiTheme="majorBidi" w:cstheme="majorBidi"/>
          <w:color w:val="000000"/>
          <w:szCs w:val="21"/>
        </w:rPr>
      </w:pP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面向专业：</w:t>
      </w:r>
      <w:r>
        <w:rPr>
          <w:rFonts w:asciiTheme="majorBidi" w:hAnsiTheme="majorBidi" w:cstheme="majorBidi"/>
          <w:color w:val="000000"/>
          <w:sz w:val="20"/>
          <w:szCs w:val="20"/>
        </w:rPr>
        <w:t>【1</w:t>
      </w:r>
      <w:r>
        <w:rPr>
          <w:rFonts w:hint="eastAsia" w:asciiTheme="majorBidi" w:hAnsiTheme="majorBidi" w:cstheme="majorBidi"/>
          <w:color w:val="000000"/>
          <w:sz w:val="20"/>
          <w:szCs w:val="20"/>
          <w:lang w:val="en-US" w:eastAsia="zh-CN"/>
        </w:rPr>
        <w:t>7</w:t>
      </w:r>
      <w:r>
        <w:rPr>
          <w:rFonts w:asciiTheme="majorBidi" w:hAnsiTheme="majorBidi" w:cstheme="majorBidi"/>
          <w:color w:val="000000"/>
          <w:sz w:val="20"/>
          <w:szCs w:val="20"/>
        </w:rPr>
        <w:t>级传播】</w:t>
      </w:r>
    </w:p>
    <w:p>
      <w:pPr>
        <w:snapToGrid w:val="0"/>
        <w:spacing w:line="360" w:lineRule="auto"/>
        <w:ind w:firstLine="394" w:firstLineChars="196"/>
        <w:rPr>
          <w:rFonts w:asciiTheme="majorBidi" w:hAnsiTheme="majorBidi" w:cstheme="majorBidi"/>
          <w:color w:val="000000"/>
          <w:sz w:val="20"/>
          <w:szCs w:val="20"/>
        </w:rPr>
      </w:pP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课程性质：</w:t>
      </w:r>
      <w:r>
        <w:rPr>
          <w:rFonts w:asciiTheme="majorBidi" w:hAnsiTheme="majorBidi" w:cstheme="majorBidi"/>
          <w:color w:val="000000"/>
          <w:sz w:val="20"/>
          <w:szCs w:val="20"/>
        </w:rPr>
        <w:t>专业必修课</w:t>
      </w:r>
    </w:p>
    <w:p>
      <w:pPr>
        <w:snapToGrid w:val="0"/>
        <w:spacing w:line="360" w:lineRule="auto"/>
        <w:ind w:firstLine="394" w:firstLineChars="196"/>
        <w:rPr>
          <w:rFonts w:asciiTheme="majorBidi" w:hAnsiTheme="majorBidi" w:cstheme="majorBidi"/>
          <w:b/>
          <w:bCs/>
          <w:color w:val="000000"/>
          <w:szCs w:val="21"/>
        </w:rPr>
      </w:pP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开课院系：新闻传播学院</w:t>
      </w:r>
    </w:p>
    <w:p>
      <w:pPr>
        <w:snapToGrid w:val="0"/>
        <w:spacing w:line="360" w:lineRule="auto"/>
        <w:ind w:firstLine="394" w:firstLineChars="196"/>
        <w:rPr>
          <w:rFonts w:asciiTheme="majorBidi" w:hAnsiTheme="majorBidi" w:cstheme="majorBidi"/>
          <w:b/>
          <w:bCs/>
          <w:color w:val="000000"/>
          <w:sz w:val="20"/>
          <w:szCs w:val="20"/>
        </w:rPr>
      </w:pP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360" w:lineRule="auto"/>
        <w:ind w:firstLine="392" w:firstLineChars="196"/>
        <w:rPr>
          <w:rFonts w:asciiTheme="majorBidi" w:hAnsiTheme="majorBidi" w:cstheme="majorBidi"/>
          <w:color w:val="000000"/>
          <w:sz w:val="20"/>
          <w:szCs w:val="20"/>
        </w:rPr>
      </w:pPr>
      <w:r>
        <w:rPr>
          <w:rFonts w:asciiTheme="majorBidi" w:hAnsiTheme="majorBidi" w:cstheme="majorBidi"/>
          <w:color w:val="000000"/>
          <w:sz w:val="20"/>
          <w:szCs w:val="20"/>
        </w:rPr>
        <w:t>教材：【《新闻传播</w:t>
      </w:r>
      <w:r>
        <w:rPr>
          <w:rFonts w:hint="eastAsia" w:asciiTheme="majorBidi" w:hAnsiTheme="majorBidi" w:cstheme="majorBidi"/>
          <w:color w:val="000000"/>
          <w:sz w:val="20"/>
          <w:szCs w:val="20"/>
          <w:lang w:eastAsia="zh-CN"/>
        </w:rPr>
        <w:t>伦理与法规实用教程</w:t>
      </w:r>
      <w:r>
        <w:rPr>
          <w:rFonts w:asciiTheme="majorBidi" w:hAnsiTheme="majorBidi" w:cstheme="majorBidi"/>
          <w:color w:val="000000"/>
          <w:sz w:val="20"/>
          <w:szCs w:val="20"/>
        </w:rPr>
        <w:t>》，黄瑚</w:t>
      </w:r>
      <w:r>
        <w:rPr>
          <w:rFonts w:hint="eastAsia" w:asciiTheme="majorBidi" w:hAnsiTheme="majorBidi" w:cstheme="majorBidi"/>
          <w:color w:val="000000"/>
          <w:sz w:val="20"/>
          <w:szCs w:val="20"/>
          <w:lang w:eastAsia="zh-CN"/>
        </w:rPr>
        <w:t>编著</w:t>
      </w:r>
      <w:r>
        <w:rPr>
          <w:rFonts w:asciiTheme="majorBidi" w:hAnsiTheme="majorBidi" w:cstheme="majorBidi"/>
          <w:color w:val="000000"/>
          <w:sz w:val="20"/>
          <w:szCs w:val="20"/>
        </w:rPr>
        <w:t>，</w:t>
      </w:r>
      <w:r>
        <w:rPr>
          <w:rFonts w:hint="eastAsia" w:asciiTheme="majorBidi" w:hAnsiTheme="majorBidi" w:cstheme="majorBidi"/>
          <w:color w:val="000000"/>
          <w:sz w:val="20"/>
          <w:szCs w:val="20"/>
          <w:lang w:eastAsia="zh-CN"/>
        </w:rPr>
        <w:t>高等教育</w:t>
      </w:r>
      <w:r>
        <w:rPr>
          <w:rFonts w:asciiTheme="majorBidi" w:hAnsiTheme="majorBidi" w:cstheme="majorBidi"/>
          <w:color w:val="000000"/>
          <w:sz w:val="20"/>
          <w:szCs w:val="20"/>
        </w:rPr>
        <w:t>出版社，最新版】</w:t>
      </w:r>
    </w:p>
    <w:p>
      <w:pPr>
        <w:snapToGrid w:val="0"/>
        <w:spacing w:line="360" w:lineRule="auto"/>
        <w:ind w:firstLine="392" w:firstLineChars="196"/>
        <w:rPr>
          <w:rFonts w:asciiTheme="majorBidi" w:hAnsiTheme="majorBidi" w:cstheme="majorBidi"/>
          <w:color w:val="000000"/>
          <w:sz w:val="20"/>
          <w:szCs w:val="20"/>
        </w:rPr>
      </w:pPr>
      <w:r>
        <w:rPr>
          <w:rFonts w:asciiTheme="majorBidi" w:hAnsiTheme="majorBidi" w:cstheme="majorBidi"/>
          <w:color w:val="000000"/>
          <w:sz w:val="20"/>
          <w:szCs w:val="20"/>
        </w:rPr>
        <w:t>参考书目【1.《新闻记者培训教材》，柳斌杰主编，人民出版社，最新版】</w:t>
      </w:r>
    </w:p>
    <w:p>
      <w:pPr>
        <w:snapToGrid w:val="0"/>
        <w:spacing w:line="360" w:lineRule="auto"/>
        <w:ind w:firstLine="700" w:firstLineChars="350"/>
        <w:rPr>
          <w:rFonts w:asciiTheme="majorBidi" w:hAnsiTheme="majorBidi" w:cstheme="majorBidi"/>
          <w:color w:val="000000"/>
          <w:sz w:val="20"/>
          <w:szCs w:val="20"/>
        </w:rPr>
      </w:pPr>
      <w:r>
        <w:rPr>
          <w:rFonts w:asciiTheme="majorBidi" w:hAnsiTheme="majorBidi" w:cstheme="majorBidi"/>
          <w:color w:val="000000"/>
          <w:sz w:val="20"/>
          <w:szCs w:val="20"/>
        </w:rPr>
        <w:t>【2.《新闻传播伦理与法规教程》，陈绚著，中国传媒大学出版社，最新版】</w:t>
      </w:r>
    </w:p>
    <w:p>
      <w:pPr>
        <w:snapToGrid w:val="0"/>
        <w:spacing w:line="360" w:lineRule="auto"/>
        <w:ind w:firstLine="392" w:firstLineChars="196"/>
        <w:rPr>
          <w:rFonts w:asciiTheme="majorBidi" w:hAnsiTheme="majorBidi" w:cstheme="majorBidi"/>
          <w:color w:val="000000"/>
          <w:sz w:val="20"/>
          <w:szCs w:val="20"/>
        </w:rPr>
      </w:pPr>
      <w:r>
        <w:rPr>
          <w:rFonts w:asciiTheme="majorBidi" w:hAnsiTheme="majorBidi" w:cstheme="majorBidi"/>
          <w:color w:val="000000"/>
          <w:sz w:val="20"/>
          <w:szCs w:val="20"/>
        </w:rPr>
        <w:t>【3.《新闻伦理与法规》，罗彬著，北京师范大学出版社，最新版】</w:t>
      </w:r>
    </w:p>
    <w:p>
      <w:pPr>
        <w:snapToGrid w:val="0"/>
        <w:spacing w:line="360" w:lineRule="auto"/>
        <w:ind w:firstLine="392" w:firstLineChars="196"/>
        <w:rPr>
          <w:rFonts w:asciiTheme="majorBidi" w:hAnsiTheme="majorBidi" w:cstheme="majorBidi"/>
          <w:color w:val="000000"/>
          <w:sz w:val="20"/>
          <w:szCs w:val="20"/>
        </w:rPr>
      </w:pPr>
      <w:r>
        <w:rPr>
          <w:rFonts w:asciiTheme="majorBidi" w:hAnsiTheme="majorBidi" w:cstheme="majorBidi"/>
          <w:color w:val="000000"/>
          <w:sz w:val="20"/>
          <w:szCs w:val="20"/>
        </w:rPr>
        <w:t>【4.《网络传播法导论》，邵国松著，中国人民大学出版社，2017年版】</w:t>
      </w:r>
    </w:p>
    <w:p>
      <w:pPr>
        <w:snapToGrid w:val="0"/>
        <w:spacing w:line="360" w:lineRule="auto"/>
        <w:ind w:firstLine="394" w:firstLineChars="196"/>
        <w:rPr>
          <w:rFonts w:asciiTheme="majorBidi" w:hAnsiTheme="majorBidi" w:cstheme="majorBidi"/>
          <w:b/>
          <w:bCs/>
          <w:color w:val="000000"/>
          <w:sz w:val="20"/>
          <w:szCs w:val="20"/>
        </w:rPr>
      </w:pP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课程网站网址：</w:t>
      </w:r>
    </w:p>
    <w:p>
      <w:pPr>
        <w:snapToGrid w:val="0"/>
        <w:spacing w:line="360" w:lineRule="auto"/>
        <w:ind w:firstLine="392" w:firstLineChars="196"/>
        <w:rPr>
          <w:rFonts w:asciiTheme="majorBidi" w:hAnsiTheme="majorBidi" w:cstheme="majorBidi"/>
          <w:color w:val="000000"/>
          <w:sz w:val="20"/>
          <w:szCs w:val="20"/>
        </w:rPr>
      </w:pPr>
      <w:r>
        <w:rPr>
          <w:rFonts w:asciiTheme="majorBidi" w:hAnsiTheme="majorBidi" w:cstheme="majorBidi"/>
          <w:color w:val="000000"/>
          <w:sz w:val="20"/>
          <w:szCs w:val="20"/>
        </w:rPr>
        <w:t>https://elearning.gench.edu.cn:8443/webapps/blackboard/execute/modulepage/view?course_id=_10426_1&amp;cmp_tab_id=_11106_1&amp;editMode=true&amp;mode=cpview</w:t>
      </w:r>
    </w:p>
    <w:p>
      <w:pPr>
        <w:spacing w:line="360" w:lineRule="auto"/>
        <w:rPr>
          <w:rFonts w:asciiTheme="majorBidi" w:hAnsiTheme="majorBidi" w:cstheme="majorBidi"/>
          <w:color w:val="000000"/>
          <w:sz w:val="20"/>
          <w:szCs w:val="20"/>
        </w:rPr>
      </w:pP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先修课程：</w:t>
      </w:r>
      <w:r>
        <w:rPr>
          <w:rFonts w:asciiTheme="majorBidi" w:hAnsiTheme="majorBidi" w:cstheme="majorBidi"/>
          <w:color w:val="000000"/>
          <w:sz w:val="20"/>
          <w:szCs w:val="20"/>
        </w:rPr>
        <w:t>【思想道德修养与法律基础 2110014 学分3分】</w:t>
      </w:r>
    </w:p>
    <w:p>
      <w:pPr>
        <w:adjustRightInd w:val="0"/>
        <w:snapToGrid w:val="0"/>
        <w:spacing w:beforeLines="50" w:afterLines="50" w:line="360" w:lineRule="auto"/>
        <w:ind w:firstLine="348" w:firstLineChars="145"/>
        <w:rPr>
          <w:rFonts w:asciiTheme="majorBidi" w:hAnsiTheme="majorBidi" w:cstheme="majorBidi"/>
          <w:b/>
          <w:color w:val="000000"/>
          <w:sz w:val="24"/>
          <w:szCs w:val="20"/>
        </w:rPr>
      </w:pPr>
      <w:r>
        <w:rPr>
          <w:rFonts w:eastAsia="黑体" w:asciiTheme="majorBidi" w:hAnsiTheme="majorBidi" w:cstheme="majorBidi"/>
          <w:sz w:val="24"/>
        </w:rPr>
        <w:t>二、课程简介</w:t>
      </w:r>
    </w:p>
    <w:p>
      <w:pPr>
        <w:snapToGrid w:val="0"/>
        <w:spacing w:line="360" w:lineRule="auto"/>
        <w:ind w:firstLine="400" w:firstLineChars="200"/>
        <w:rPr>
          <w:rFonts w:asciiTheme="majorBidi" w:hAnsiTheme="majorBidi" w:cstheme="majorBidi"/>
          <w:color w:val="000000"/>
          <w:sz w:val="20"/>
          <w:szCs w:val="20"/>
        </w:rPr>
      </w:pPr>
      <w:r>
        <w:rPr>
          <w:rFonts w:asciiTheme="majorBidi" w:hAnsiTheme="majorBidi" w:cstheme="majorBidi"/>
          <w:color w:val="000000"/>
          <w:sz w:val="20"/>
          <w:szCs w:val="20"/>
        </w:rPr>
        <w:t>本课程的研究对象为</w:t>
      </w:r>
      <w:r>
        <w:rPr>
          <w:rFonts w:hint="eastAsia" w:asciiTheme="majorBidi" w:hAnsiTheme="majorBidi" w:cstheme="majorBidi"/>
          <w:color w:val="000000"/>
          <w:sz w:val="20"/>
          <w:szCs w:val="20"/>
          <w:lang w:eastAsia="zh-CN"/>
        </w:rPr>
        <w:t>媒介</w:t>
      </w:r>
      <w:r>
        <w:rPr>
          <w:rFonts w:asciiTheme="majorBidi" w:hAnsiTheme="majorBidi" w:cstheme="majorBidi"/>
          <w:color w:val="000000"/>
          <w:sz w:val="20"/>
          <w:szCs w:val="20"/>
        </w:rPr>
        <w:t>法规与伦理，即新闻传播工作者应遵守的职业道德和法律规范。作为一个专业新闻人，职业道德体现在他的每一个工作环节里：无论是新闻采访、网络编辑、广告创意还是市场策划。本课程将针对上述环节中新闻传播从业者会碰到的问题，从媒体与政府、新闻道德与法律法规、记者与采访对象、新闻报道的社会效果、新闻记者的角色冲突、新媒体时代的新闻记者职业道德素质要求等专题入手，结合近年社会影响力较大的案例，通过课堂讲解、学生讨论、学生开展小规模调查实践、法庭旁听及庭审新闻稿采写等方式，让学生掌握传播行为的判断标准，正确看待媒体特别是新媒体为社会带来的正面和负面影响，具备传播从业者的基本伦理与法律规范知识，提高职业道德修养和法律意识。</w:t>
      </w:r>
    </w:p>
    <w:p>
      <w:pPr>
        <w:widowControl/>
        <w:spacing w:beforeLines="50" w:afterLines="50" w:line="360" w:lineRule="auto"/>
        <w:ind w:firstLine="360" w:firstLineChars="150"/>
        <w:jc w:val="left"/>
        <w:rPr>
          <w:rFonts w:eastAsia="黑体" w:asciiTheme="majorBidi" w:hAnsiTheme="majorBidi" w:cstheme="majorBidi"/>
          <w:sz w:val="24"/>
        </w:rPr>
      </w:pPr>
      <w:r>
        <w:rPr>
          <w:rFonts w:eastAsia="黑体" w:asciiTheme="majorBidi" w:hAnsiTheme="majorBidi" w:cstheme="majorBidi"/>
          <w:sz w:val="24"/>
        </w:rPr>
        <w:t>三、选课建议</w:t>
      </w:r>
    </w:p>
    <w:p>
      <w:pPr>
        <w:snapToGrid w:val="0"/>
        <w:spacing w:line="360" w:lineRule="auto"/>
        <w:ind w:firstLine="400" w:firstLineChars="200"/>
        <w:rPr>
          <w:rFonts w:asciiTheme="majorBidi" w:hAnsiTheme="majorBidi" w:cstheme="majorBidi"/>
          <w:color w:val="000000"/>
          <w:sz w:val="20"/>
          <w:szCs w:val="20"/>
        </w:rPr>
      </w:pPr>
      <w:r>
        <w:rPr>
          <w:rFonts w:asciiTheme="majorBidi" w:hAnsiTheme="majorBidi" w:cstheme="majorBidi"/>
          <w:color w:val="000000"/>
          <w:sz w:val="20"/>
          <w:szCs w:val="20"/>
        </w:rPr>
        <w:t>本课程是传播专业的专业必修课程之一。建议在二年级或三年级开设。学生在修本课程前，已通过传播学概论、新闻学概论等课程，对本专业的基础理论有一定程度的掌握。而在本课程之后，学生将参加社会实践和实习。在理论学习基本结束、实践课程即将开始之前开设课程，能帮助学生强化对新闻职业道德和法规的基本认知，提高专业素质，为社会实践做好准备。</w:t>
      </w:r>
    </w:p>
    <w:p>
      <w:pPr>
        <w:widowControl/>
        <w:spacing w:beforeLines="50" w:afterLines="50" w:line="360" w:lineRule="auto"/>
        <w:ind w:firstLine="480" w:firstLineChars="200"/>
        <w:jc w:val="left"/>
        <w:rPr>
          <w:rFonts w:eastAsia="黑体" w:asciiTheme="majorBidi" w:hAnsiTheme="majorBidi" w:cstheme="majorBidi"/>
          <w:sz w:val="24"/>
        </w:rPr>
      </w:pPr>
      <w:r>
        <w:rPr>
          <w:rFonts w:eastAsia="黑体" w:asciiTheme="majorBidi" w:hAnsiTheme="majorBidi" w:cstheme="majorBidi"/>
          <w:sz w:val="24"/>
        </w:rPr>
        <w:t>四、课程与专业毕业要求的关联性</w:t>
      </w:r>
    </w:p>
    <w:tbl>
      <w:tblPr>
        <w:tblStyle w:val="4"/>
        <w:tblW w:w="9064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990"/>
        <w:gridCol w:w="6685"/>
        <w:gridCol w:w="7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黑体" w:asciiTheme="majorBidi" w:hAnsiTheme="majorBidi" w:cstheme="majorBidi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黑体" w:asciiTheme="majorBidi" w:hAnsiTheme="majorBidi" w:cstheme="majorBidi"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L011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LO111</w:t>
            </w:r>
          </w:p>
        </w:tc>
        <w:tc>
          <w:tcPr>
            <w:tcW w:w="6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LO112</w:t>
            </w:r>
          </w:p>
        </w:tc>
        <w:tc>
          <w:tcPr>
            <w:tcW w:w="6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L021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LO211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能根据需要确定学习目标，并设计学习计划。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LO212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L031</w:t>
            </w:r>
          </w:p>
        </w:tc>
        <w:tc>
          <w:tcPr>
            <w:tcW w:w="76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传播理论：掌握传播学的核心理论、基本知识。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100" w:firstLineChars="50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L032</w:t>
            </w:r>
          </w:p>
        </w:tc>
        <w:tc>
          <w:tcPr>
            <w:tcW w:w="76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视频制作：掌握视频内容的策划、拍摄、后期制作，具备传播视觉化信息的基本能力。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L033</w:t>
            </w:r>
          </w:p>
        </w:tc>
        <w:tc>
          <w:tcPr>
            <w:tcW w:w="76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文本写作：根据不同传播渠道的规范要求，具备基本的文本写作能力。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L034</w:t>
            </w:r>
          </w:p>
        </w:tc>
        <w:tc>
          <w:tcPr>
            <w:tcW w:w="76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新媒体运营：掌握互联网和移动互联网各类媒体工具的使用，具备新媒体的日常运营能力。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L035</w:t>
            </w:r>
          </w:p>
        </w:tc>
        <w:tc>
          <w:tcPr>
            <w:tcW w:w="76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人文素养：对文学、绘画、影视、音乐、戏剧等文化艺术具有基本的鉴赏能力，体现出媒介内容制作的质量和品位。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L041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LO411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LO412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LO413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LO414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L051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LO511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100" w:firstLineChars="50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LO512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LO513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LO514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L061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LO611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LO612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能够使用适合的工具来搜集信息，并对信息加以分析、鉴别、判断与整合。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LO613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熟练使用计算机，掌握常用办公软件。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L071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LO711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LO712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LO713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100" w:firstLineChars="50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LO714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L081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L0811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L0812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L0813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有国际竞争与合作意识。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</w:p>
    <w:p>
      <w:pPr>
        <w:widowControl/>
        <w:spacing w:beforeLines="50" w:afterLines="50" w:line="360" w:lineRule="auto"/>
        <w:ind w:firstLine="360" w:firstLineChars="150"/>
        <w:jc w:val="left"/>
        <w:rPr>
          <w:rFonts w:eastAsia="黑体" w:asciiTheme="majorBidi" w:hAnsiTheme="majorBidi" w:cstheme="majorBidi"/>
          <w:sz w:val="24"/>
        </w:rPr>
      </w:pPr>
      <w:r>
        <w:rPr>
          <w:rFonts w:eastAsia="黑体" w:asciiTheme="majorBidi" w:hAnsiTheme="majorBidi" w:cstheme="majorBidi"/>
          <w:sz w:val="24"/>
        </w:rPr>
        <w:t>五、课程目标/课程预期学习成果</w:t>
      </w:r>
    </w:p>
    <w:tbl>
      <w:tblPr>
        <w:tblStyle w:val="4"/>
        <w:tblpPr w:leftFromText="180" w:rightFromText="180" w:vertAnchor="text" w:horzAnchor="page" w:tblpX="1987" w:tblpY="152"/>
        <w:tblOverlap w:val="never"/>
        <w:tblW w:w="8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175"/>
        <w:gridCol w:w="2900"/>
        <w:gridCol w:w="2126"/>
        <w:gridCol w:w="2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shd w:val="clear" w:color="auto" w:fill="auto"/>
          </w:tcPr>
          <w:p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Cs w:val="21"/>
              </w:rPr>
            </w:pPr>
            <w:r>
              <w:rPr>
                <w:rFonts w:asciiTheme="majorBidi" w:hAnsiTheme="majorBidi" w:cstheme="majorBidi"/>
                <w:b/>
                <w:color w:val="000000"/>
                <w:szCs w:val="21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Cs w:val="21"/>
              </w:rPr>
            </w:pPr>
            <w:r>
              <w:rPr>
                <w:rFonts w:asciiTheme="majorBidi" w:hAnsiTheme="majorBidi" w:cstheme="majorBidi"/>
                <w:b/>
                <w:color w:val="000000"/>
                <w:szCs w:val="21"/>
              </w:rPr>
              <w:t>课程预期</w:t>
            </w:r>
          </w:p>
          <w:p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Cs w:val="21"/>
              </w:rPr>
            </w:pPr>
            <w:r>
              <w:rPr>
                <w:rFonts w:asciiTheme="majorBidi" w:hAnsiTheme="majorBidi" w:cstheme="majorBidi"/>
                <w:b/>
                <w:color w:val="000000"/>
                <w:szCs w:val="21"/>
              </w:rPr>
              <w:t>学习成果</w:t>
            </w:r>
          </w:p>
        </w:tc>
        <w:tc>
          <w:tcPr>
            <w:tcW w:w="2900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Cs w:val="21"/>
                <w:highlight w:val="yellow"/>
              </w:rPr>
            </w:pPr>
            <w:r>
              <w:rPr>
                <w:rFonts w:asciiTheme="majorBidi" w:hAnsiTheme="majorBidi" w:cstheme="majorBidi"/>
                <w:b/>
                <w:color w:val="000000"/>
                <w:szCs w:val="21"/>
              </w:rPr>
              <w:t>课程目标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Cs w:val="21"/>
              </w:rPr>
            </w:pPr>
            <w:r>
              <w:rPr>
                <w:rFonts w:asciiTheme="majorBidi" w:hAnsiTheme="majorBidi" w:cstheme="majorBidi"/>
                <w:b/>
                <w:color w:val="000000"/>
                <w:szCs w:val="21"/>
              </w:rPr>
              <w:t>教与学方式</w:t>
            </w:r>
          </w:p>
        </w:tc>
        <w:tc>
          <w:tcPr>
            <w:tcW w:w="2019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Cs w:val="21"/>
              </w:rPr>
            </w:pPr>
            <w:r>
              <w:rPr>
                <w:rFonts w:asciiTheme="majorBidi" w:hAnsiTheme="majorBidi" w:cstheme="majorBidi"/>
                <w:b/>
                <w:color w:val="000000"/>
                <w:szCs w:val="21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eastAsia="仿宋" w:asciiTheme="majorBidi" w:hAnsiTheme="majorBidi" w:cstheme="majorBidi"/>
                <w:color w:val="000000"/>
                <w:kern w:val="0"/>
                <w:szCs w:val="21"/>
              </w:rPr>
            </w:pPr>
            <w:r>
              <w:rPr>
                <w:rFonts w:eastAsia="仿宋" w:asciiTheme="majorBidi" w:hAnsiTheme="majorBidi" w:cstheme="majorBidi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szCs w:val="21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Cs w:val="21"/>
              </w:rPr>
              <w:t>L031</w:t>
            </w:r>
          </w:p>
        </w:tc>
        <w:tc>
          <w:tcPr>
            <w:tcW w:w="290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eastAsia="黑体" w:asciiTheme="majorBidi" w:hAnsiTheme="majorBidi" w:cstheme="majorBidi"/>
                <w:szCs w:val="21"/>
              </w:rPr>
            </w:pPr>
            <w:r>
              <w:rPr>
                <w:rFonts w:eastAsia="黑体" w:asciiTheme="majorBidi" w:hAnsiTheme="majorBidi" w:cstheme="majorBidi"/>
                <w:szCs w:val="21"/>
              </w:rPr>
              <w:t>掌握传播学的核心理论、基本知识。</w:t>
            </w:r>
          </w:p>
        </w:tc>
        <w:tc>
          <w:tcPr>
            <w:tcW w:w="2126" w:type="dxa"/>
            <w:shd w:val="clear" w:color="auto" w:fill="auto"/>
          </w:tcPr>
          <w:p>
            <w:pPr>
              <w:snapToGrid w:val="0"/>
              <w:spacing w:line="360" w:lineRule="auto"/>
              <w:jc w:val="center"/>
              <w:rPr>
                <w:rFonts w:eastAsia="黑体" w:asciiTheme="majorBidi" w:hAnsiTheme="majorBidi" w:cstheme="majorBidi"/>
                <w:szCs w:val="21"/>
              </w:rPr>
            </w:pPr>
            <w:r>
              <w:rPr>
                <w:rFonts w:eastAsia="黑体" w:asciiTheme="majorBidi" w:hAnsiTheme="majorBidi" w:cstheme="majorBidi"/>
                <w:szCs w:val="21"/>
              </w:rPr>
              <w:t>讲授法</w:t>
            </w:r>
          </w:p>
          <w:p>
            <w:pPr>
              <w:snapToGrid w:val="0"/>
              <w:spacing w:line="360" w:lineRule="auto"/>
              <w:jc w:val="center"/>
              <w:rPr>
                <w:rFonts w:eastAsia="黑体" w:asciiTheme="majorBidi" w:hAnsiTheme="majorBidi" w:cstheme="majorBidi"/>
                <w:szCs w:val="21"/>
              </w:rPr>
            </w:pPr>
            <w:r>
              <w:rPr>
                <w:rFonts w:eastAsia="黑体" w:asciiTheme="majorBidi" w:hAnsiTheme="majorBidi" w:cstheme="majorBidi"/>
                <w:szCs w:val="21"/>
              </w:rPr>
              <w:t>案例教学法</w:t>
            </w:r>
          </w:p>
        </w:tc>
        <w:tc>
          <w:tcPr>
            <w:tcW w:w="2019" w:type="dxa"/>
            <w:shd w:val="clear" w:color="auto" w:fill="auto"/>
          </w:tcPr>
          <w:p>
            <w:pPr>
              <w:snapToGrid w:val="0"/>
              <w:spacing w:line="360" w:lineRule="auto"/>
              <w:jc w:val="center"/>
              <w:rPr>
                <w:rFonts w:eastAsia="黑体" w:asciiTheme="majorBidi" w:hAnsiTheme="majorBidi" w:cstheme="majorBidi"/>
                <w:szCs w:val="21"/>
              </w:rPr>
            </w:pPr>
            <w:r>
              <w:rPr>
                <w:rFonts w:eastAsia="黑体" w:asciiTheme="majorBidi" w:hAnsiTheme="majorBidi" w:cstheme="majorBidi"/>
                <w:szCs w:val="21"/>
              </w:rPr>
              <w:t>作业、提问、PPT展示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eastAsia="仿宋" w:asciiTheme="majorBidi" w:hAnsiTheme="majorBidi" w:cstheme="majorBidi"/>
                <w:color w:val="000000"/>
                <w:kern w:val="0"/>
                <w:szCs w:val="21"/>
              </w:rPr>
            </w:pPr>
            <w:r>
              <w:rPr>
                <w:rFonts w:eastAsia="仿宋" w:asciiTheme="majorBidi" w:hAnsiTheme="majorBidi" w:cstheme="majorBidi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kern w:val="0"/>
                <w:szCs w:val="21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Cs w:val="21"/>
              </w:rPr>
              <w:t>LO411</w:t>
            </w:r>
          </w:p>
        </w:tc>
        <w:tc>
          <w:tcPr>
            <w:tcW w:w="2900" w:type="dxa"/>
            <w:shd w:val="clear" w:color="auto" w:fill="auto"/>
          </w:tcPr>
          <w:p>
            <w:pPr>
              <w:spacing w:line="360" w:lineRule="auto"/>
              <w:rPr>
                <w:rFonts w:eastAsia="黑体" w:asciiTheme="majorBidi" w:hAnsiTheme="majorBidi" w:cstheme="majorBidi"/>
                <w:szCs w:val="21"/>
              </w:rPr>
            </w:pPr>
            <w:r>
              <w:rPr>
                <w:rFonts w:eastAsia="黑体" w:asciiTheme="majorBidi" w:hAnsiTheme="majorBidi" w:cstheme="majorBidi"/>
                <w:szCs w:val="21"/>
              </w:rPr>
              <w:t>能够在团队合作中主动遵纪守法：遵守校纪校规，具备法律意识。</w:t>
            </w:r>
          </w:p>
        </w:tc>
        <w:tc>
          <w:tcPr>
            <w:tcW w:w="2126" w:type="dxa"/>
            <w:shd w:val="clear" w:color="auto" w:fill="auto"/>
          </w:tcPr>
          <w:p>
            <w:pPr>
              <w:snapToGrid w:val="0"/>
              <w:spacing w:line="360" w:lineRule="auto"/>
              <w:jc w:val="center"/>
              <w:rPr>
                <w:rFonts w:eastAsia="黑体" w:asciiTheme="majorBidi" w:hAnsiTheme="majorBidi" w:cstheme="majorBidi"/>
                <w:szCs w:val="21"/>
              </w:rPr>
            </w:pPr>
            <w:r>
              <w:rPr>
                <w:rFonts w:eastAsia="黑体" w:asciiTheme="majorBidi" w:hAnsiTheme="majorBidi" w:cstheme="majorBidi"/>
                <w:szCs w:val="21"/>
              </w:rPr>
              <w:t>真实情境教学法</w:t>
            </w:r>
          </w:p>
        </w:tc>
        <w:tc>
          <w:tcPr>
            <w:tcW w:w="2019" w:type="dxa"/>
            <w:shd w:val="clear" w:color="auto" w:fill="auto"/>
          </w:tcPr>
          <w:p>
            <w:pPr>
              <w:snapToGrid w:val="0"/>
              <w:spacing w:line="360" w:lineRule="auto"/>
              <w:jc w:val="center"/>
              <w:rPr>
                <w:rFonts w:eastAsia="黑体" w:asciiTheme="majorBidi" w:hAnsiTheme="majorBidi" w:cstheme="majorBidi"/>
                <w:szCs w:val="21"/>
              </w:rPr>
            </w:pPr>
            <w:r>
              <w:rPr>
                <w:rFonts w:eastAsia="黑体" w:asciiTheme="majorBidi" w:hAnsiTheme="majorBidi" w:cstheme="majorBidi"/>
                <w:szCs w:val="21"/>
              </w:rPr>
              <w:t>法庭旁听小结评价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eastAsia="仿宋" w:asciiTheme="majorBidi" w:hAnsiTheme="majorBidi" w:cstheme="majorBidi"/>
                <w:color w:val="000000"/>
                <w:kern w:val="0"/>
                <w:szCs w:val="21"/>
              </w:rPr>
            </w:pPr>
            <w:r>
              <w:rPr>
                <w:rFonts w:eastAsia="仿宋" w:asciiTheme="majorBidi" w:hAnsiTheme="majorBidi" w:cstheme="majorBidi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kern w:val="0"/>
                <w:szCs w:val="21"/>
              </w:rPr>
            </w:pPr>
            <w:r>
              <w:rPr>
                <w:rFonts w:asciiTheme="majorBidi" w:hAnsiTheme="majorBidi" w:cstheme="majorBidi"/>
                <w:szCs w:val="21"/>
              </w:rPr>
              <w:t>L</w:t>
            </w:r>
            <w:r>
              <w:rPr>
                <w:rFonts w:asciiTheme="majorBidi" w:hAnsiTheme="majorBidi" w:cstheme="majorBidi"/>
                <w:color w:val="000000"/>
                <w:kern w:val="0"/>
                <w:szCs w:val="21"/>
              </w:rPr>
              <w:t>O413</w:t>
            </w:r>
          </w:p>
        </w:tc>
        <w:tc>
          <w:tcPr>
            <w:tcW w:w="2900" w:type="dxa"/>
            <w:shd w:val="clear" w:color="auto" w:fill="auto"/>
          </w:tcPr>
          <w:p>
            <w:pPr>
              <w:spacing w:line="360" w:lineRule="auto"/>
              <w:rPr>
                <w:rFonts w:eastAsia="黑体" w:asciiTheme="majorBidi" w:hAnsiTheme="majorBidi" w:cstheme="majorBidi"/>
                <w:szCs w:val="21"/>
              </w:rPr>
            </w:pPr>
            <w:r>
              <w:rPr>
                <w:rFonts w:eastAsia="黑体" w:asciiTheme="majorBidi" w:hAnsiTheme="majorBidi" w:cstheme="majorBidi"/>
                <w:szCs w:val="21"/>
              </w:rPr>
              <w:t>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2126" w:type="dxa"/>
            <w:shd w:val="clear" w:color="auto" w:fill="auto"/>
          </w:tcPr>
          <w:p>
            <w:pPr>
              <w:snapToGrid w:val="0"/>
              <w:spacing w:line="360" w:lineRule="auto"/>
              <w:jc w:val="center"/>
              <w:rPr>
                <w:rFonts w:eastAsia="黑体" w:asciiTheme="majorBidi" w:hAnsiTheme="majorBidi" w:cstheme="majorBidi"/>
                <w:szCs w:val="21"/>
              </w:rPr>
            </w:pPr>
            <w:r>
              <w:rPr>
                <w:rFonts w:eastAsia="黑体" w:asciiTheme="majorBidi" w:hAnsiTheme="majorBidi" w:cstheme="majorBidi"/>
                <w:szCs w:val="21"/>
              </w:rPr>
              <w:t>讲授法</w:t>
            </w:r>
          </w:p>
          <w:p>
            <w:pPr>
              <w:snapToGrid w:val="0"/>
              <w:spacing w:line="360" w:lineRule="auto"/>
              <w:jc w:val="center"/>
              <w:rPr>
                <w:rFonts w:eastAsia="黑体" w:asciiTheme="majorBidi" w:hAnsiTheme="majorBidi" w:cstheme="majorBidi"/>
                <w:szCs w:val="21"/>
              </w:rPr>
            </w:pPr>
            <w:r>
              <w:rPr>
                <w:rFonts w:eastAsia="黑体" w:asciiTheme="majorBidi" w:hAnsiTheme="majorBidi" w:cstheme="majorBidi"/>
                <w:szCs w:val="21"/>
              </w:rPr>
              <w:t>案例教学法</w:t>
            </w:r>
          </w:p>
          <w:p>
            <w:pPr>
              <w:snapToGrid w:val="0"/>
              <w:spacing w:line="360" w:lineRule="auto"/>
              <w:jc w:val="center"/>
              <w:rPr>
                <w:rFonts w:eastAsia="黑体" w:asciiTheme="majorBidi" w:hAnsiTheme="majorBidi" w:cstheme="majorBidi"/>
                <w:szCs w:val="21"/>
              </w:rPr>
            </w:pPr>
            <w:r>
              <w:rPr>
                <w:rFonts w:eastAsia="黑体" w:asciiTheme="majorBidi" w:hAnsiTheme="majorBidi" w:cstheme="majorBidi"/>
                <w:szCs w:val="21"/>
              </w:rPr>
              <w:t>真实情境教学法</w:t>
            </w:r>
          </w:p>
        </w:tc>
        <w:tc>
          <w:tcPr>
            <w:tcW w:w="2019" w:type="dxa"/>
            <w:shd w:val="clear" w:color="auto" w:fill="auto"/>
          </w:tcPr>
          <w:p>
            <w:pPr>
              <w:snapToGrid w:val="0"/>
              <w:spacing w:line="360" w:lineRule="auto"/>
              <w:jc w:val="center"/>
              <w:rPr>
                <w:rFonts w:eastAsia="黑体" w:asciiTheme="majorBidi" w:hAnsiTheme="majorBidi" w:cstheme="majorBidi"/>
                <w:szCs w:val="21"/>
              </w:rPr>
            </w:pPr>
            <w:r>
              <w:rPr>
                <w:rFonts w:eastAsia="黑体" w:asciiTheme="majorBidi" w:hAnsiTheme="majorBidi" w:cstheme="majorBidi"/>
                <w:szCs w:val="21"/>
              </w:rPr>
              <w:t>小组作业</w:t>
            </w:r>
          </w:p>
          <w:p>
            <w:pPr>
              <w:snapToGrid w:val="0"/>
              <w:spacing w:line="360" w:lineRule="auto"/>
              <w:jc w:val="center"/>
              <w:rPr>
                <w:rFonts w:eastAsia="黑体" w:asciiTheme="majorBidi" w:hAnsiTheme="majorBidi" w:cstheme="majorBidi"/>
                <w:szCs w:val="21"/>
              </w:rPr>
            </w:pPr>
            <w:r>
              <w:rPr>
                <w:rFonts w:eastAsia="黑体" w:asciiTheme="majorBidi" w:hAnsiTheme="majorBidi" w:cstheme="majorBidi"/>
                <w:szCs w:val="21"/>
              </w:rPr>
              <w:t>法庭旁听小结评价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eastAsia="仿宋" w:asciiTheme="majorBidi" w:hAnsiTheme="majorBidi" w:cstheme="majorBidi"/>
                <w:color w:val="000000"/>
                <w:kern w:val="0"/>
                <w:szCs w:val="21"/>
              </w:rPr>
            </w:pPr>
            <w:r>
              <w:rPr>
                <w:rFonts w:eastAsia="仿宋" w:asciiTheme="majorBidi" w:hAnsiTheme="majorBidi" w:cstheme="majorBidi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ajorBidi" w:hAnsiTheme="majorBidi" w:cstheme="majorBidi"/>
                <w:szCs w:val="21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Cs w:val="21"/>
              </w:rPr>
              <w:t>LO713</w:t>
            </w:r>
          </w:p>
        </w:tc>
        <w:tc>
          <w:tcPr>
            <w:tcW w:w="2900" w:type="dxa"/>
            <w:shd w:val="clear" w:color="auto" w:fill="auto"/>
          </w:tcPr>
          <w:p>
            <w:pPr>
              <w:spacing w:line="360" w:lineRule="auto"/>
              <w:rPr>
                <w:rFonts w:eastAsia="黑体" w:asciiTheme="majorBidi" w:hAnsiTheme="majorBidi" w:cstheme="majorBidi"/>
                <w:szCs w:val="21"/>
              </w:rPr>
            </w:pPr>
            <w:r>
              <w:rPr>
                <w:rFonts w:eastAsia="黑体" w:asciiTheme="majorBidi" w:hAnsiTheme="majorBidi" w:cstheme="majorBidi"/>
                <w:szCs w:val="21"/>
              </w:rPr>
              <w:t>奉献社会：具有服务企业、服务社会的意愿和行为能力。</w:t>
            </w:r>
          </w:p>
        </w:tc>
        <w:tc>
          <w:tcPr>
            <w:tcW w:w="2126" w:type="dxa"/>
            <w:shd w:val="clear" w:color="auto" w:fill="auto"/>
          </w:tcPr>
          <w:p>
            <w:pPr>
              <w:snapToGrid w:val="0"/>
              <w:spacing w:line="360" w:lineRule="auto"/>
              <w:jc w:val="center"/>
              <w:rPr>
                <w:rFonts w:eastAsia="黑体" w:asciiTheme="majorBidi" w:hAnsiTheme="majorBidi" w:cstheme="majorBidi"/>
                <w:szCs w:val="21"/>
              </w:rPr>
            </w:pPr>
            <w:r>
              <w:rPr>
                <w:rFonts w:eastAsia="黑体" w:asciiTheme="majorBidi" w:hAnsiTheme="majorBidi" w:cstheme="majorBidi"/>
                <w:szCs w:val="21"/>
              </w:rPr>
              <w:t>案例分析法、情景展示法</w:t>
            </w:r>
          </w:p>
        </w:tc>
        <w:tc>
          <w:tcPr>
            <w:tcW w:w="2019" w:type="dxa"/>
            <w:shd w:val="clear" w:color="auto" w:fill="auto"/>
          </w:tcPr>
          <w:p>
            <w:pPr>
              <w:snapToGrid w:val="0"/>
              <w:spacing w:line="360" w:lineRule="auto"/>
              <w:jc w:val="center"/>
              <w:rPr>
                <w:rFonts w:eastAsia="黑体" w:asciiTheme="majorBidi" w:hAnsiTheme="majorBidi" w:cstheme="majorBidi"/>
                <w:szCs w:val="21"/>
              </w:rPr>
            </w:pPr>
            <w:r>
              <w:rPr>
                <w:rFonts w:eastAsia="黑体" w:asciiTheme="majorBidi" w:hAnsiTheme="majorBidi" w:cstheme="majorBidi"/>
                <w:szCs w:val="21"/>
              </w:rPr>
              <w:t>综合评价</w:t>
            </w:r>
          </w:p>
        </w:tc>
      </w:tr>
    </w:tbl>
    <w:p>
      <w:pPr>
        <w:snapToGrid w:val="0"/>
        <w:spacing w:line="360" w:lineRule="auto"/>
        <w:ind w:left="420" w:leftChars="200"/>
        <w:rPr>
          <w:rFonts w:eastAsia="黑体" w:asciiTheme="majorBidi" w:hAnsiTheme="majorBidi" w:cstheme="majorBidi"/>
          <w:sz w:val="24"/>
        </w:rPr>
      </w:pPr>
    </w:p>
    <w:p>
      <w:pPr>
        <w:widowControl/>
        <w:spacing w:beforeLines="50" w:afterLines="50" w:line="360" w:lineRule="auto"/>
        <w:ind w:firstLine="360" w:firstLineChars="150"/>
        <w:jc w:val="left"/>
        <w:rPr>
          <w:rFonts w:eastAsia="黑体" w:asciiTheme="majorBidi" w:hAnsiTheme="majorBidi" w:cstheme="majorBidi"/>
          <w:sz w:val="24"/>
        </w:rPr>
      </w:pPr>
      <w:r>
        <w:rPr>
          <w:rFonts w:eastAsia="黑体" w:asciiTheme="majorBidi" w:hAnsiTheme="majorBidi" w:cstheme="majorBidi"/>
          <w:sz w:val="24"/>
        </w:rPr>
        <w:t>六、课程内容</w:t>
      </w:r>
    </w:p>
    <w:p>
      <w:pPr>
        <w:snapToGrid w:val="0"/>
        <w:spacing w:line="360" w:lineRule="auto"/>
        <w:ind w:firstLine="400" w:firstLineChars="200"/>
        <w:jc w:val="center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专题一绪论</w:t>
      </w:r>
    </w:p>
    <w:p>
      <w:pPr>
        <w:snapToGrid w:val="0"/>
        <w:spacing w:line="360" w:lineRule="auto"/>
        <w:ind w:firstLine="400" w:firstLineChars="200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通过本专题的学习，应当理解“伦理”、“道德”、“传播法规”的基本概念以及本课程的研究对象与基本任务，知道本课程的学科性质和学习要求；掌握学习本课程的方法。</w:t>
      </w:r>
    </w:p>
    <w:p>
      <w:pPr>
        <w:snapToGrid w:val="0"/>
        <w:spacing w:line="360" w:lineRule="auto"/>
        <w:ind w:firstLine="400" w:firstLineChars="200"/>
        <w:jc w:val="center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专题二新闻传播道德自律</w:t>
      </w:r>
    </w:p>
    <w:p>
      <w:pPr>
        <w:snapToGrid w:val="0"/>
        <w:spacing w:line="360" w:lineRule="auto"/>
        <w:ind w:firstLine="400" w:firstLineChars="200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通过本专题的学习，应当理解新闻伦理失范行为的表现、危害、产生的原因及该如何对其进行防范，形成良好的新闻伦理观。</w:t>
      </w:r>
    </w:p>
    <w:p>
      <w:pPr>
        <w:snapToGrid w:val="0"/>
        <w:spacing w:line="360" w:lineRule="auto"/>
        <w:ind w:firstLine="400" w:firstLineChars="200"/>
        <w:jc w:val="center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专题三新闻传播与宪法、国家安全、社会秩序</w:t>
      </w:r>
    </w:p>
    <w:p>
      <w:pPr>
        <w:snapToGrid w:val="0"/>
        <w:spacing w:line="360" w:lineRule="auto"/>
        <w:ind w:firstLine="400" w:firstLineChars="200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通过本专题的学习，应当理解宪法对言论出版自由，以及对媒体及公民的批评建议权和监督权的保护和规定；了解我国法律法规对新闻媒体维护国家安全的规定；了解新闻传播扰乱社会秩序的情形和防范。</w:t>
      </w:r>
    </w:p>
    <w:p>
      <w:pPr>
        <w:snapToGrid w:val="0"/>
        <w:spacing w:line="360" w:lineRule="auto"/>
        <w:ind w:firstLine="400" w:firstLineChars="200"/>
        <w:jc w:val="center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专题四新闻传播与司法公正</w:t>
      </w:r>
    </w:p>
    <w:p>
      <w:pPr>
        <w:snapToGrid w:val="0"/>
        <w:spacing w:line="360" w:lineRule="auto"/>
        <w:ind w:firstLine="400" w:firstLineChars="200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通过本专题的学习，应当理解新闻传播与司法独立的关系；了解“媒体审判”的概念及防范；掌握法律对新闻传播监督司法活动的保障与限制。</w:t>
      </w:r>
    </w:p>
    <w:p>
      <w:pPr>
        <w:snapToGrid w:val="0"/>
        <w:spacing w:line="360" w:lineRule="auto"/>
        <w:ind w:firstLine="400" w:firstLineChars="200"/>
        <w:jc w:val="center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专题五新闻传播与人格权（一）：名誉权、隐私权</w:t>
      </w:r>
    </w:p>
    <w:p>
      <w:pPr>
        <w:snapToGrid w:val="0"/>
        <w:spacing w:line="360" w:lineRule="auto"/>
        <w:ind w:firstLine="400" w:firstLineChars="200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通过本专题的学习，应当理解人格权的概念和内容，新闻传播侵犯人格权行为的构成要件；理解名誉权和隐私权的概念，新闻传播侵犯名誉权、隐私权的行为表现及防范。</w:t>
      </w:r>
    </w:p>
    <w:p>
      <w:pPr>
        <w:snapToGrid w:val="0"/>
        <w:spacing w:line="360" w:lineRule="auto"/>
        <w:ind w:firstLine="400" w:firstLineChars="200"/>
        <w:jc w:val="center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专题六新闻传播与人格权（二）：姓名权、荣誉权、侵权责任</w:t>
      </w:r>
    </w:p>
    <w:p>
      <w:pPr>
        <w:snapToGrid w:val="0"/>
        <w:spacing w:line="360" w:lineRule="auto"/>
        <w:ind w:firstLine="400" w:firstLineChars="200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通过本专题的学习，应当理解姓名权和荣誉权的概念，新闻传播侵犯姓名权、荣誉权的行为表现及防范。理解新闻传播侵犯人格权的侵权责任和救济措施。</w:t>
      </w:r>
    </w:p>
    <w:p>
      <w:pPr>
        <w:snapToGrid w:val="0"/>
        <w:spacing w:line="360" w:lineRule="auto"/>
        <w:ind w:firstLine="400" w:firstLineChars="200"/>
        <w:jc w:val="center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专题七新闻传播与著作权</w:t>
      </w:r>
    </w:p>
    <w:p>
      <w:pPr>
        <w:snapToGrid w:val="0"/>
        <w:spacing w:line="360" w:lineRule="auto"/>
        <w:ind w:firstLine="400" w:firstLineChars="200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通过本专题的学习，应当理解著作权的概念和内容，新闻传播侵犯著作权的行为表现及法律责任；了解网络服务提供者的法律风险防范措施。</w:t>
      </w:r>
    </w:p>
    <w:p>
      <w:pPr>
        <w:snapToGrid w:val="0"/>
        <w:spacing w:line="360" w:lineRule="auto"/>
        <w:ind w:firstLine="400" w:firstLineChars="200"/>
        <w:jc w:val="center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专题八新闻传播与程序法</w:t>
      </w:r>
    </w:p>
    <w:p>
      <w:pPr>
        <w:snapToGrid w:val="0"/>
        <w:spacing w:line="360" w:lineRule="auto"/>
        <w:ind w:firstLine="400" w:firstLineChars="200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通过本专题的学习，应当理解刑事诉讼法、民事诉讼法和行政诉讼法与新闻传播活动有关的规定，了解相关的行为规范。</w:t>
      </w:r>
    </w:p>
    <w:p>
      <w:pPr>
        <w:snapToGrid w:val="0"/>
        <w:spacing w:line="360" w:lineRule="auto"/>
        <w:ind w:firstLine="400" w:firstLineChars="200"/>
        <w:jc w:val="center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专题九对发布特殊新闻和信息的行政管理</w:t>
      </w:r>
    </w:p>
    <w:p>
      <w:pPr>
        <w:snapToGrid w:val="0"/>
        <w:spacing w:line="360" w:lineRule="auto"/>
        <w:ind w:firstLine="400" w:firstLineChars="200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通过本专题的学习，应当了解我国对重要政务信息、突发事件信息、证券期货信息、气象预报信息，及地图信息的发布及传播的规定。</w:t>
      </w:r>
    </w:p>
    <w:p>
      <w:pPr>
        <w:snapToGrid w:val="0"/>
        <w:spacing w:line="360" w:lineRule="auto"/>
        <w:ind w:firstLine="400" w:firstLineChars="200"/>
        <w:jc w:val="center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专题十对新闻事业的行政管理</w:t>
      </w:r>
    </w:p>
    <w:p>
      <w:pPr>
        <w:snapToGrid w:val="0"/>
        <w:spacing w:line="360" w:lineRule="auto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通过本专题的学习，应当理解我国对新闻事业进行行政管理的职能部门及其职责；了解我国对报纸期刊、广播电视、互联网等方面的具体行政管理规定。</w:t>
      </w:r>
    </w:p>
    <w:p>
      <w:pPr>
        <w:widowControl/>
        <w:spacing w:beforeLines="50" w:afterLines="50" w:line="360" w:lineRule="auto"/>
        <w:ind w:firstLine="360" w:firstLineChars="150"/>
        <w:jc w:val="left"/>
        <w:rPr>
          <w:rFonts w:eastAsia="黑体" w:asciiTheme="majorBidi" w:hAnsiTheme="majorBidi" w:cstheme="majorBidi"/>
          <w:sz w:val="24"/>
        </w:rPr>
      </w:pPr>
      <w:r>
        <w:rPr>
          <w:rFonts w:eastAsia="黑体" w:asciiTheme="majorBidi" w:hAnsiTheme="majorBidi" w:cstheme="majorBidi"/>
          <w:sz w:val="24"/>
        </w:rPr>
        <w:t>七、课内实验名称及基本要求</w:t>
      </w:r>
    </w:p>
    <w:tbl>
      <w:tblPr>
        <w:tblStyle w:val="4"/>
        <w:tblW w:w="864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18"/>
        <w:gridCol w:w="4252"/>
        <w:gridCol w:w="1276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360" w:lineRule="auto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序号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360" w:lineRule="auto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各阶段名称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360" w:lineRule="auto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实践主要内容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360" w:lineRule="auto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天数/周数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360" w:lineRule="auto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360" w:lineRule="auto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360" w:lineRule="auto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法庭旁听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360" w:lineRule="auto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一般要求：体验式学习，取得课程学习的第一手资料，完成法庭旁听小结；</w:t>
            </w:r>
          </w:p>
          <w:p>
            <w:pPr>
              <w:snapToGrid w:val="0"/>
              <w:spacing w:beforeLines="50" w:afterLines="50" w:line="360" w:lineRule="auto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提高性要求（不作强制性规定）：撰写法庭旁听新闻稿；采访法官并完成采访稿件。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360" w:lineRule="auto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4节课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360" w:lineRule="auto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360" w:lineRule="auto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360" w:lineRule="auto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360" w:lineRule="auto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360" w:lineRule="auto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360" w:lineRule="auto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</w:p>
        </w:tc>
      </w:tr>
    </w:tbl>
    <w:p>
      <w:pPr>
        <w:snapToGrid w:val="0"/>
        <w:spacing w:line="360" w:lineRule="auto"/>
        <w:ind w:right="2520"/>
        <w:rPr>
          <w:rFonts w:eastAsia="黑体" w:asciiTheme="majorBidi" w:hAnsiTheme="majorBidi" w:cstheme="majorBidi"/>
          <w:sz w:val="24"/>
        </w:rPr>
      </w:pPr>
    </w:p>
    <w:tbl>
      <w:tblPr>
        <w:tblStyle w:val="4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 w:line="360" w:lineRule="auto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总评构成（</w:t>
            </w:r>
            <w:r>
              <w:rPr>
                <w:rFonts w:hint="eastAsia" w:asciiTheme="majorBidi" w:hAnsiTheme="majorBidi" w:cstheme="majorBidi"/>
                <w:bCs/>
                <w:color w:val="000000"/>
                <w:szCs w:val="20"/>
              </w:rPr>
              <w:t>1+</w:t>
            </w: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X）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期末</w:t>
            </w:r>
            <w:r>
              <w:rPr>
                <w:rFonts w:hint="eastAsia" w:asciiTheme="majorBidi" w:hAnsiTheme="majorBidi" w:cstheme="majorBidi"/>
                <w:bCs/>
                <w:color w:val="000000"/>
                <w:szCs w:val="20"/>
              </w:rPr>
              <w:t>纸笔</w:t>
            </w: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测试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作业及课堂互动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小组大作业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法庭旁听成果评价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20%</w:t>
            </w:r>
          </w:p>
        </w:tc>
      </w:tr>
    </w:tbl>
    <w:p>
      <w:pPr>
        <w:snapToGrid w:val="0"/>
        <w:spacing w:line="360" w:lineRule="auto"/>
        <w:ind w:right="2520" w:firstLine="480" w:firstLineChars="200"/>
        <w:rPr>
          <w:rFonts w:eastAsia="黑体" w:asciiTheme="majorBidi" w:hAnsiTheme="majorBidi" w:cstheme="majorBidi"/>
          <w:sz w:val="24"/>
        </w:rPr>
      </w:pPr>
      <w:r>
        <w:rPr>
          <w:rFonts w:eastAsia="黑体" w:asciiTheme="majorBidi" w:hAnsiTheme="majorBidi" w:cstheme="majorBidi"/>
          <w:sz w:val="24"/>
        </w:rPr>
        <w:t>八、评价方式与成绩</w:t>
      </w:r>
    </w:p>
    <w:p>
      <w:pPr>
        <w:snapToGrid w:val="0"/>
        <w:spacing w:line="360" w:lineRule="auto"/>
        <w:ind w:right="2520" w:firstLine="400" w:firstLineChars="200"/>
        <w:rPr>
          <w:rFonts w:asciiTheme="majorBidi" w:hAnsiTheme="majorBidi" w:cstheme="majorBidi"/>
          <w:sz w:val="20"/>
          <w:szCs w:val="20"/>
        </w:rPr>
      </w:pPr>
    </w:p>
    <w:p>
      <w:pPr>
        <w:snapToGrid w:val="0"/>
        <w:spacing w:before="120" w:after="120" w:line="360" w:lineRule="auto"/>
        <w:rPr>
          <w:rFonts w:asciiTheme="majorBidi" w:hAnsiTheme="majorBidi" w:cstheme="majorBidi"/>
          <w:sz w:val="20"/>
          <w:szCs w:val="20"/>
          <w:highlight w:val="yellow"/>
        </w:rPr>
      </w:pPr>
    </w:p>
    <w:p>
      <w:pPr>
        <w:snapToGrid w:val="0"/>
        <w:spacing w:line="360" w:lineRule="auto"/>
        <w:ind w:firstLine="720" w:firstLineChars="300"/>
        <w:rPr>
          <w:rFonts w:hint="eastAsia" w:eastAsia="宋体" w:asciiTheme="majorBidi" w:hAnsiTheme="majorBidi" w:cstheme="majorBidi"/>
          <w:sz w:val="24"/>
          <w:szCs w:val="24"/>
          <w:lang w:eastAsia="zh-CN"/>
        </w:rPr>
      </w:pPr>
      <w:r>
        <w:rPr>
          <w:rFonts w:asciiTheme="majorBidi" w:hAnsiTheme="majorBidi" w:cstheme="majorBidi"/>
          <w:sz w:val="24"/>
          <w:szCs w:val="24"/>
        </w:rPr>
        <w:t>撰写人：徐磊</w:t>
      </w:r>
      <w:r>
        <w:rPr>
          <w:rFonts w:hint="eastAsia" w:asciiTheme="majorBidi" w:hAnsiTheme="majorBidi" w:cstheme="majorBidi"/>
          <w:sz w:val="24"/>
          <w:szCs w:val="24"/>
          <w:lang w:val="en-US" w:eastAsia="zh-CN"/>
        </w:rPr>
        <w:t xml:space="preserve">                </w:t>
      </w:r>
      <w:r>
        <w:rPr>
          <w:rFonts w:asciiTheme="majorBidi" w:hAnsiTheme="majorBidi" w:cstheme="majorBidi"/>
          <w:sz w:val="24"/>
          <w:szCs w:val="24"/>
        </w:rPr>
        <w:t>系主任审核签名：</w:t>
      </w:r>
      <w:r>
        <w:rPr>
          <w:rFonts w:hint="eastAsia" w:asciiTheme="majorBidi" w:hAnsiTheme="majorBidi" w:cstheme="majorBidi"/>
          <w:sz w:val="24"/>
          <w:szCs w:val="24"/>
          <w:lang w:val="en-US" w:eastAsia="zh-CN"/>
        </w:rPr>
        <w:t xml:space="preserve"> </w:t>
      </w:r>
    </w:p>
    <w:p>
      <w:pPr>
        <w:snapToGrid w:val="0"/>
        <w:spacing w:line="360" w:lineRule="auto"/>
        <w:ind w:firstLine="720" w:firstLineChars="300"/>
        <w:rPr>
          <w:rFonts w:hint="eastAsia" w:eastAsia="宋体" w:asciiTheme="majorBidi" w:hAnsiTheme="majorBidi" w:cstheme="majorBidi"/>
          <w:sz w:val="24"/>
          <w:szCs w:val="24"/>
          <w:lang w:eastAsia="zh-CN"/>
        </w:rPr>
      </w:pPr>
      <w:r>
        <w:rPr>
          <w:rFonts w:asciiTheme="majorBidi" w:hAnsiTheme="majorBidi" w:cstheme="majorBidi"/>
          <w:sz w:val="24"/>
          <w:szCs w:val="24"/>
        </w:rPr>
        <w:t>审核时间：201</w:t>
      </w:r>
      <w:r>
        <w:rPr>
          <w:rFonts w:hint="eastAsia" w:asciiTheme="majorBidi" w:hAnsiTheme="majorBidi" w:cstheme="majorBidi"/>
          <w:sz w:val="24"/>
          <w:szCs w:val="24"/>
          <w:lang w:val="en-US" w:eastAsia="zh-CN"/>
        </w:rPr>
        <w:t>9</w:t>
      </w:r>
      <w:r>
        <w:rPr>
          <w:rFonts w:hint="eastAsia" w:asciiTheme="majorBidi" w:hAnsiTheme="majorBidi" w:cstheme="majorBidi"/>
          <w:sz w:val="24"/>
          <w:szCs w:val="24"/>
        </w:rPr>
        <w:t>.</w:t>
      </w:r>
      <w:r>
        <w:rPr>
          <w:rFonts w:hint="eastAsia" w:asciiTheme="majorBidi" w:hAnsiTheme="majorBidi" w:cstheme="majorBidi"/>
          <w:sz w:val="24"/>
          <w:szCs w:val="24"/>
          <w:lang w:val="en-US" w:eastAsia="zh-CN"/>
        </w:rPr>
        <w:t>8</w:t>
      </w:r>
      <w:bookmarkStart w:id="1" w:name="_GoBack"/>
      <w:bookmarkEnd w:id="1"/>
    </w:p>
    <w:p>
      <w:pPr>
        <w:spacing w:line="360" w:lineRule="auto"/>
        <w:jc w:val="center"/>
        <w:rPr>
          <w:rFonts w:asciiTheme="majorBidi" w:hAnsiTheme="majorBidi" w:cstheme="majorBidi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651F"/>
    <w:rsid w:val="00100846"/>
    <w:rsid w:val="001072BC"/>
    <w:rsid w:val="001A3E02"/>
    <w:rsid w:val="00256B39"/>
    <w:rsid w:val="0026033C"/>
    <w:rsid w:val="0029506E"/>
    <w:rsid w:val="002E3721"/>
    <w:rsid w:val="00313BBA"/>
    <w:rsid w:val="0032602E"/>
    <w:rsid w:val="003367AE"/>
    <w:rsid w:val="00346957"/>
    <w:rsid w:val="00393F61"/>
    <w:rsid w:val="003B1258"/>
    <w:rsid w:val="004100B0"/>
    <w:rsid w:val="005467DC"/>
    <w:rsid w:val="00553D03"/>
    <w:rsid w:val="005B2B6D"/>
    <w:rsid w:val="005B4B4E"/>
    <w:rsid w:val="00624FE1"/>
    <w:rsid w:val="007208D6"/>
    <w:rsid w:val="008B397C"/>
    <w:rsid w:val="008B47F4"/>
    <w:rsid w:val="00900019"/>
    <w:rsid w:val="0099063E"/>
    <w:rsid w:val="009B4AC0"/>
    <w:rsid w:val="009F771F"/>
    <w:rsid w:val="00A769B1"/>
    <w:rsid w:val="00A837D5"/>
    <w:rsid w:val="00AC4C45"/>
    <w:rsid w:val="00B46A36"/>
    <w:rsid w:val="00B46F21"/>
    <w:rsid w:val="00B511A5"/>
    <w:rsid w:val="00B736A7"/>
    <w:rsid w:val="00B7651F"/>
    <w:rsid w:val="00BF7E25"/>
    <w:rsid w:val="00C368AF"/>
    <w:rsid w:val="00C50D23"/>
    <w:rsid w:val="00C56E09"/>
    <w:rsid w:val="00C76FB7"/>
    <w:rsid w:val="00CF096B"/>
    <w:rsid w:val="00E16D30"/>
    <w:rsid w:val="00E33169"/>
    <w:rsid w:val="00E63282"/>
    <w:rsid w:val="00E70904"/>
    <w:rsid w:val="00EC2A8E"/>
    <w:rsid w:val="00EE3D5B"/>
    <w:rsid w:val="00EF44B1"/>
    <w:rsid w:val="00F35AA0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45C61D2"/>
    <w:rsid w:val="780F13C8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513</Words>
  <Characters>2928</Characters>
  <Lines>24</Lines>
  <Paragraphs>6</Paragraphs>
  <TotalTime>2</TotalTime>
  <ScaleCrop>false</ScaleCrop>
  <LinksUpToDate>false</LinksUpToDate>
  <CharactersWithSpaces>3435</CharactersWithSpaces>
  <Application>WPS Office_11.1.0.8813_F1E327BC-269C-435d-A152-05C5408002CA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2018-03-10T10:59:00Z</dcterms:created>
  <dc:creator>juvg</dc:creator>
  <cp:lastModifiedBy>Administrator</cp:lastModifiedBy>
  <dcterms:modified xsi:type="dcterms:W3CDTF">2019-09-02T02:07:02Z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2052-11.1.0.8813</vt:lpwstr>
  </property>
</Properties>
</file>