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  <w:sz w:val="28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LVkea1AAAAAgBAAAPAAAAAAAAAAEAIAAAACIAAABkcnMvZG93bnJl&#10;di54bWxQSwECFAAUAAAACACHTuJAuUZcoToCAABPBAAADgAAAAAAAAABACAAAAAjAQAAZHJzL2Uy&#10;b0RvYy54bWxQSwUGAAAAAAYABgBZAQAAz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 xml:space="preserve">                </w:t>
      </w:r>
    </w:p>
    <w:p>
      <w:pPr>
        <w:widowControl/>
        <w:snapToGrid w:val="0"/>
        <w:spacing w:line="480" w:lineRule="exact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【大学语文】</w:t>
      </w:r>
    </w:p>
    <w:p>
      <w:pPr>
        <w:widowControl/>
        <w:snapToGrid w:val="0"/>
        <w:spacing w:line="480" w:lineRule="exact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【College  language】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413" w:firstLineChars="196"/>
        <w:rPr>
          <w:rFonts w:asciiTheme="majorEastAsia" w:hAnsiTheme="majorEastAsia" w:eastAsiaTheme="majorEastAsia" w:cstheme="majorEastAsia"/>
          <w:color w:val="000000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Cs w:val="21"/>
        </w:rPr>
        <w:t>课程代码：</w:t>
      </w:r>
      <w:r>
        <w:rPr>
          <w:rFonts w:hint="eastAsia" w:asciiTheme="majorEastAsia" w:hAnsiTheme="majorEastAsia" w:eastAsiaTheme="majorEastAsia" w:cstheme="majorEastAsia"/>
          <w:color w:val="000000"/>
          <w:szCs w:val="21"/>
        </w:rPr>
        <w:t>【2030552】</w:t>
      </w:r>
    </w:p>
    <w:p>
      <w:pPr>
        <w:snapToGrid w:val="0"/>
        <w:spacing w:line="288" w:lineRule="auto"/>
        <w:ind w:firstLine="413" w:firstLineChars="196"/>
        <w:rPr>
          <w:rFonts w:asciiTheme="majorEastAsia" w:hAnsiTheme="majorEastAsia" w:eastAsiaTheme="majorEastAsia" w:cstheme="majorEastAsia"/>
          <w:color w:val="000000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Cs w:val="21"/>
        </w:rPr>
        <w:t>课程学分：</w:t>
      </w:r>
      <w:r>
        <w:rPr>
          <w:rFonts w:hint="eastAsia" w:asciiTheme="majorEastAsia" w:hAnsiTheme="majorEastAsia" w:eastAsiaTheme="majorEastAsia" w:cstheme="majorEastAsia"/>
          <w:color w:val="000000"/>
          <w:szCs w:val="21"/>
        </w:rPr>
        <w:t>【2.0】</w:t>
      </w:r>
    </w:p>
    <w:p>
      <w:pPr>
        <w:snapToGrid w:val="0"/>
        <w:spacing w:line="288" w:lineRule="auto"/>
        <w:ind w:firstLine="413" w:firstLineChars="196"/>
        <w:rPr>
          <w:rFonts w:asciiTheme="majorEastAsia" w:hAnsiTheme="majorEastAsia" w:eastAsiaTheme="majorEastAsia" w:cstheme="majorEastAsia"/>
          <w:color w:val="000000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Cs w:val="21"/>
        </w:rPr>
        <w:t>面向专业：</w:t>
      </w:r>
      <w:r>
        <w:rPr>
          <w:rFonts w:hint="eastAsia" w:asciiTheme="majorEastAsia" w:hAnsiTheme="majorEastAsia" w:eastAsiaTheme="majorEastAsia" w:cstheme="majorEastAsia"/>
          <w:color w:val="000000"/>
          <w:szCs w:val="21"/>
        </w:rPr>
        <w:t>【金融工程】</w:t>
      </w:r>
    </w:p>
    <w:p>
      <w:pPr>
        <w:snapToGrid w:val="0"/>
        <w:spacing w:line="288" w:lineRule="auto"/>
        <w:ind w:firstLine="413" w:firstLineChars="196"/>
        <w:rPr>
          <w:rFonts w:asciiTheme="majorEastAsia" w:hAnsiTheme="majorEastAsia" w:eastAsiaTheme="majorEastAsia" w:cstheme="majorEastAsia"/>
          <w:color w:val="000000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Cs w:val="21"/>
        </w:rPr>
        <w:t>课程性质：</w:t>
      </w:r>
      <w:r>
        <w:rPr>
          <w:rFonts w:hint="eastAsia" w:asciiTheme="majorEastAsia" w:hAnsiTheme="majorEastAsia" w:eastAsiaTheme="majorEastAsia" w:cstheme="majorEastAsia"/>
          <w:color w:val="000000"/>
          <w:szCs w:val="21"/>
        </w:rPr>
        <w:t>【通识教育必修课】</w:t>
      </w:r>
    </w:p>
    <w:p>
      <w:pPr>
        <w:snapToGrid w:val="0"/>
        <w:spacing w:line="288" w:lineRule="auto"/>
        <w:ind w:firstLine="413" w:firstLineChars="196"/>
        <w:rPr>
          <w:rFonts w:asciiTheme="majorEastAsia" w:hAnsiTheme="majorEastAsia" w:eastAsiaTheme="majorEastAsia" w:cstheme="majorEastAsia"/>
          <w:color w:val="000000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Cs w:val="21"/>
        </w:rPr>
        <w:t>开课院系：新闻传播学院</w:t>
      </w:r>
    </w:p>
    <w:p>
      <w:pPr>
        <w:snapToGrid w:val="0"/>
        <w:spacing w:line="288" w:lineRule="auto"/>
        <w:ind w:firstLine="413" w:firstLineChars="196"/>
        <w:rPr>
          <w:rFonts w:asciiTheme="majorEastAsia" w:hAnsiTheme="majorEastAsia" w:eastAsiaTheme="majorEastAsia" w:cstheme="majorEastAsia"/>
          <w:b/>
          <w:bCs/>
          <w:color w:val="000000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Cs w:val="21"/>
        </w:rPr>
        <w:t>使用教材：</w:t>
      </w:r>
    </w:p>
    <w:p>
      <w:pPr>
        <w:snapToGrid w:val="0"/>
        <w:spacing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教材【 </w:t>
      </w:r>
      <w:r>
        <w:rPr>
          <w:rFonts w:hint="eastAsia" w:asciiTheme="minorEastAsia" w:hAnsiTheme="minorEastAsia" w:eastAsiaTheme="minorEastAsia" w:cstheme="minorEastAsia"/>
          <w:szCs w:val="21"/>
        </w:rPr>
        <w:t>《大学语文》，徐中玉、齐森华主编，华东师范大学出版社，2013年8月第10版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】</w:t>
      </w:r>
    </w:p>
    <w:p>
      <w:pPr>
        <w:snapToGrid w:val="0"/>
        <w:spacing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参考书目【《中国文学史》，袁行霈主编，高等教育出版社，2014年6月第3版；《中国历代文学作品选》，朱东润主编，上海古籍出版社，2008年4月出版；《中国现代文学三十年》，钱理群等著，北京大学出版社，1998年7月出版。】</w:t>
      </w:r>
    </w:p>
    <w:p>
      <w:pPr>
        <w:adjustRightInd w:val="0"/>
        <w:snapToGrid w:val="0"/>
        <w:spacing w:line="288" w:lineRule="auto"/>
        <w:ind w:firstLine="413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Cs w:val="21"/>
        </w:rPr>
        <w:t>课程网站网址</w:t>
      </w:r>
      <w:r>
        <w:rPr>
          <w:rFonts w:hint="eastAsia"/>
          <w:b/>
          <w:bCs/>
          <w:color w:val="000000"/>
          <w:sz w:val="20"/>
          <w:szCs w:val="20"/>
        </w:rPr>
        <w:t>：https://www.icourse163.org/course/SEU-33001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大学语文》是金融工程专业通识教育必修课，承担着传承民族历史文化、延续民族思想精髓、凝聚民族精神力量等重大使命，致力于提高大学生的语文综合素养与能力。课程以经典文学作品的阅读与鉴赏为主，在内容上兼及古今中外，如中国文学的代表作品《诗经》、楚辞、唐诗、宋词、元曲、明清小说等，外国文学代表则有美国欧亨利、俄国契诃夫等人的作品，培养学生形成良好的文学审美能力。同时，课程又以作家所处的时代背景对作家、作品的影响为辅，对作家的经历与创作环境进行详细介绍，培养学生对文学、生活的深层理解。因此，本课程的主要目的是培养当代大学生的文学阅读、鉴赏及思辨能力，使学生在与文学先哲的心灵对话中，体悟他们对生活的深刻认识与感受，从而为其形成健康的文化人格和对生活的良好认知奠定坚实的基础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本课程适合全校所有专业年级学生。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6"/>
        <w:tblpPr w:leftFromText="180" w:rightFromText="180" w:vertAnchor="text" w:horzAnchor="page" w:tblpXSpec="center" w:tblpY="152"/>
        <w:tblOverlap w:val="never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1110"/>
        <w:gridCol w:w="3115"/>
        <w:gridCol w:w="1136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1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11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226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LO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115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能够理解作品的思想。</w:t>
            </w:r>
          </w:p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2.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能够与老师、同学对课程内容进行有效讨论。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讲授、讨论</w:t>
            </w:r>
          </w:p>
        </w:tc>
        <w:tc>
          <w:tcPr>
            <w:tcW w:w="226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课堂</w:t>
            </w:r>
            <w:r>
              <w:rPr>
                <w:rFonts w:asciiTheme="minorEastAsia" w:hAnsiTheme="minorEastAsia" w:eastAsiaTheme="minorEastAsia"/>
                <w:szCs w:val="21"/>
              </w:rPr>
              <w:t>学生答疑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、讨论</w:t>
            </w:r>
            <w:r>
              <w:rPr>
                <w:rFonts w:asciiTheme="minorEastAsia" w:hAnsiTheme="minorEastAsia" w:eastAsiaTheme="minorEastAsia"/>
                <w:szCs w:val="21"/>
              </w:rPr>
              <w:t>情况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评分。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课后作业评分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L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O112</w:t>
            </w:r>
          </w:p>
        </w:tc>
        <w:tc>
          <w:tcPr>
            <w:tcW w:w="3115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能够理解并尊重他人对作品的不同看法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讲授、讨论</w:t>
            </w:r>
          </w:p>
        </w:tc>
        <w:tc>
          <w:tcPr>
            <w:tcW w:w="226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课堂</w:t>
            </w:r>
            <w:r>
              <w:rPr>
                <w:rFonts w:asciiTheme="minorEastAsia" w:hAnsiTheme="minorEastAsia" w:eastAsiaTheme="minorEastAsia"/>
                <w:szCs w:val="21"/>
              </w:rPr>
              <w:t>学生答疑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、讨论</w:t>
            </w:r>
            <w:r>
              <w:rPr>
                <w:rFonts w:asciiTheme="minorEastAsia" w:hAnsiTheme="minorEastAsia" w:eastAsiaTheme="minorEastAsia"/>
                <w:szCs w:val="21"/>
              </w:rPr>
              <w:t>情况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L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O211</w:t>
            </w:r>
          </w:p>
        </w:tc>
        <w:tc>
          <w:tcPr>
            <w:tcW w:w="3115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能够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根据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学习小组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任务设定学习计划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自主</w:t>
            </w:r>
            <w:r>
              <w:rPr>
                <w:rFonts w:asciiTheme="minorEastAsia" w:hAnsiTheme="minorEastAsia" w:eastAsiaTheme="minorEastAsia"/>
                <w:szCs w:val="21"/>
              </w:rPr>
              <w:t>学习</w:t>
            </w:r>
          </w:p>
        </w:tc>
        <w:tc>
          <w:tcPr>
            <w:tcW w:w="226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学习计划、目标的制定。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L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O212</w:t>
            </w:r>
          </w:p>
        </w:tc>
        <w:tc>
          <w:tcPr>
            <w:tcW w:w="3115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能够有效执行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学习计划、达到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学习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自主</w:t>
            </w:r>
            <w:r>
              <w:rPr>
                <w:rFonts w:asciiTheme="minorEastAsia" w:hAnsiTheme="minorEastAsia" w:eastAsiaTheme="minorEastAsia"/>
                <w:szCs w:val="21"/>
              </w:rPr>
              <w:t>学习</w:t>
            </w:r>
          </w:p>
        </w:tc>
        <w:tc>
          <w:tcPr>
            <w:tcW w:w="226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.学习计划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</w:t>
            </w:r>
            <w:r>
              <w:rPr>
                <w:rFonts w:asciiTheme="minorEastAsia" w:hAnsiTheme="minorEastAsia" w:eastAsiaTheme="minorEastAsia"/>
                <w:szCs w:val="21"/>
              </w:rPr>
              <w:t>执行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情况。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学习目标的达到程度情况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LO31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1.能够对文学作品进行阅读鉴赏。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讲授、讨论</w:t>
            </w:r>
          </w:p>
        </w:tc>
        <w:tc>
          <w:tcPr>
            <w:tcW w:w="2266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课堂学生讨论情况。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课后学生作业情况。</w:t>
            </w:r>
          </w:p>
        </w:tc>
      </w:tr>
    </w:tbl>
    <w:p>
      <w:pPr>
        <w:widowControl/>
        <w:spacing w:before="156" w:beforeLines="50" w:after="312" w:afterLines="10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</w:t>
      </w:r>
      <w:r>
        <w:rPr>
          <w:rFonts w:hint="eastAsia" w:ascii="黑体" w:hAnsi="宋体" w:eastAsia="黑体"/>
          <w:sz w:val="24"/>
        </w:rPr>
        <w:t xml:space="preserve">  共计32课时</w:t>
      </w:r>
    </w:p>
    <w:tbl>
      <w:tblPr>
        <w:tblStyle w:val="7"/>
        <w:tblW w:w="80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2199"/>
        <w:gridCol w:w="2381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单元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知识点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能力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要求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教学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304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礼赞爱情（6</w:t>
            </w:r>
            <w:r>
              <w:rPr>
                <w:rFonts w:asciiTheme="minorEastAsia" w:hAnsiTheme="minorEastAsia" w:eastAsiaTheme="minorEastAsia"/>
                <w:szCs w:val="21"/>
              </w:rPr>
              <w:t>课时）</w:t>
            </w:r>
          </w:p>
        </w:tc>
        <w:tc>
          <w:tcPr>
            <w:tcW w:w="219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古人的爱情观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L</w:t>
            </w:r>
            <w:r>
              <w:rPr>
                <w:rFonts w:asciiTheme="minorEastAsia" w:hAnsiTheme="minorEastAsia" w:eastAsiaTheme="minorEastAsia"/>
                <w:szCs w:val="21"/>
              </w:rPr>
              <w:t>3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爱情与社会文化、制度的关系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L</w:t>
            </w:r>
            <w:r>
              <w:rPr>
                <w:rFonts w:asciiTheme="minorEastAsia" w:hAnsiTheme="minorEastAsia" w:eastAsiaTheme="minorEastAsia"/>
                <w:szCs w:val="21"/>
              </w:rPr>
              <w:t>3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1.能够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理解古人的爱情观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2.能够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正确评价古人的爱情活动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</w:tc>
        <w:tc>
          <w:tcPr>
            <w:tcW w:w="2194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古代爱情活动与社会文化、制度的关系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对古代爱情活动的评价。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304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仁者爱人（2</w:t>
            </w:r>
            <w:r>
              <w:rPr>
                <w:rFonts w:asciiTheme="minorEastAsia" w:hAnsiTheme="minorEastAsia" w:eastAsiaTheme="minorEastAsia"/>
                <w:szCs w:val="21"/>
              </w:rPr>
              <w:t>课时）</w:t>
            </w:r>
          </w:p>
        </w:tc>
        <w:tc>
          <w:tcPr>
            <w:tcW w:w="219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中国古代文化中对“仁”的具体认识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L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古人对“仁”的思想的践行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L</w:t>
            </w: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238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能够理解中国古代“仁”的思想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.能够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运用“仁”的思想来对当时人的言行进行评价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</w:tc>
        <w:tc>
          <w:tcPr>
            <w:tcW w:w="2194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当代学习“仁”的思想的价值与意义。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“仁”的思想在现实生活中的践行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4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和而不同（4</w:t>
            </w:r>
            <w:r>
              <w:rPr>
                <w:rFonts w:asciiTheme="minorEastAsia" w:hAnsiTheme="minorEastAsia" w:eastAsiaTheme="minorEastAsia"/>
                <w:szCs w:val="21"/>
              </w:rPr>
              <w:t>课时）</w:t>
            </w:r>
          </w:p>
        </w:tc>
        <w:tc>
          <w:tcPr>
            <w:tcW w:w="219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中国古代文化中“和”与“同”的概念与思想。L</w:t>
            </w:r>
            <w:r>
              <w:rPr>
                <w:rFonts w:asciiTheme="minorEastAsia" w:hAnsiTheme="minorEastAsia" w:eastAsiaTheme="minorEastAsia"/>
                <w:szCs w:val="21"/>
              </w:rPr>
              <w:t>3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现当代社会对“和”与“同”思想的认识。L4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“和”与“同”思想的发展与新变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L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1.能够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理解中国古代文化中“和”与“同”的思想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2.能够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对“和”与“同”的思想在现当代人生活中的表现进行正确分析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能够评价“和”与“同”思想的古今变化与利弊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</w:tc>
        <w:tc>
          <w:tcPr>
            <w:tcW w:w="2194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“和”与“同”思想在现实生活中的辩证关系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“和”与“同”的践行与价值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1304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胸怀天下（10</w:t>
            </w:r>
            <w:r>
              <w:rPr>
                <w:rFonts w:asciiTheme="minorEastAsia" w:hAnsiTheme="minorEastAsia" w:eastAsiaTheme="minorEastAsia"/>
                <w:szCs w:val="21"/>
              </w:rPr>
              <w:t>课时）</w:t>
            </w:r>
          </w:p>
        </w:tc>
        <w:tc>
          <w:tcPr>
            <w:tcW w:w="219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1.古代“修身齐家治国平天下”思想的源流发展。L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..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古代仁人志士胸怀天下、关注苍生的具体表现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L</w:t>
            </w:r>
            <w:r>
              <w:rPr>
                <w:rFonts w:asciiTheme="minorEastAsia" w:hAnsiTheme="minorEastAsia" w:eastAsiaTheme="minorEastAsia"/>
                <w:szCs w:val="21"/>
              </w:rPr>
              <w:t>3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能够理解关注国家、关注黎民、关注自身命运的思想。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能够正确评价古人胸怀天下的情怀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能够对古人胸怀天下的思想的进步与局限进行正确评价。</w:t>
            </w:r>
          </w:p>
        </w:tc>
        <w:tc>
          <w:tcPr>
            <w:tcW w:w="2194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古人胸怀天下思想的进步性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 xml:space="preserve">2.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古人胸怀天下思想的当代价值与意义。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304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5.关爱生命（10</w:t>
            </w:r>
            <w:r>
              <w:rPr>
                <w:rFonts w:asciiTheme="minorEastAsia" w:hAnsiTheme="minorEastAsia" w:eastAsiaTheme="minorEastAsia"/>
                <w:szCs w:val="21"/>
              </w:rPr>
              <w:t>课时）</w:t>
            </w:r>
          </w:p>
        </w:tc>
        <w:tc>
          <w:tcPr>
            <w:tcW w:w="219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1.生命意识。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2.生命与生活的关系。</w:t>
            </w:r>
          </w:p>
        </w:tc>
        <w:tc>
          <w:tcPr>
            <w:tcW w:w="238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1.能够正确理解“生命”的概念及其与生活的关系。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2.能够正确评价个体的生命意识。</w:t>
            </w:r>
          </w:p>
        </w:tc>
        <w:tc>
          <w:tcPr>
            <w:tcW w:w="2194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1.生命与生活的关系。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2.生命意识的价值与意义。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七、评价方式与成绩</w:t>
      </w:r>
      <w:r>
        <w:rPr>
          <w:rFonts w:ascii="黑体" w:hAnsi="宋体" w:eastAsia="黑体"/>
          <w:sz w:val="24"/>
        </w:rPr>
        <w:t>（必填项）</w:t>
      </w:r>
    </w:p>
    <w:tbl>
      <w:tblPr>
        <w:tblStyle w:val="6"/>
        <w:tblpPr w:leftFromText="180" w:rightFromText="180" w:vertAnchor="text" w:horzAnchor="page" w:tblpX="2057" w:tblpY="282"/>
        <w:tblOverlap w:val="never"/>
        <w:tblW w:w="8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4928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928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53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  <w:shd w:val="clear" w:color="auto" w:fill="auto"/>
          </w:tcPr>
          <w:p/>
          <w:p>
            <w:pPr>
              <w:ind w:firstLine="630" w:firstLineChars="300"/>
            </w:pPr>
            <w:r>
              <w:rPr>
                <w:rFonts w:hint="eastAsia"/>
              </w:rPr>
              <w:t>1</w:t>
            </w:r>
          </w:p>
        </w:tc>
        <w:tc>
          <w:tcPr>
            <w:tcW w:w="4928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期末考试考查</w:t>
            </w:r>
          </w:p>
        </w:tc>
        <w:tc>
          <w:tcPr>
            <w:tcW w:w="153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X1</w:t>
            </w:r>
          </w:p>
        </w:tc>
        <w:tc>
          <w:tcPr>
            <w:tcW w:w="4928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lang w:eastAsia="zh-CN"/>
              </w:rPr>
              <w:t>任选一首诗词进行鉴赏，</w:t>
            </w:r>
            <w:r>
              <w:rPr>
                <w:rFonts w:hint="eastAsia"/>
                <w:bCs/>
                <w:color w:val="000000"/>
                <w:sz w:val="20"/>
                <w:lang w:val="en-US" w:eastAsia="zh-CN"/>
              </w:rPr>
              <w:t>500字以上</w:t>
            </w:r>
          </w:p>
        </w:tc>
        <w:tc>
          <w:tcPr>
            <w:tcW w:w="153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X2</w:t>
            </w:r>
          </w:p>
        </w:tc>
        <w:tc>
          <w:tcPr>
            <w:tcW w:w="4928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0"/>
                <w:lang w:eastAsia="zh-CN"/>
              </w:rPr>
              <w:t>任选一篇</w:t>
            </w:r>
            <w:r>
              <w:rPr>
                <w:rFonts w:hint="eastAsia"/>
                <w:bCs/>
                <w:color w:val="000000"/>
                <w:sz w:val="20"/>
              </w:rPr>
              <w:t>散文或小说</w:t>
            </w:r>
            <w:r>
              <w:rPr>
                <w:rFonts w:hint="eastAsia"/>
                <w:bCs/>
                <w:color w:val="000000"/>
                <w:sz w:val="20"/>
                <w:lang w:eastAsia="zh-CN"/>
              </w:rPr>
              <w:t>进行鉴赏，</w:t>
            </w:r>
            <w:r>
              <w:rPr>
                <w:rFonts w:hint="eastAsia"/>
                <w:bCs/>
                <w:color w:val="000000"/>
                <w:sz w:val="20"/>
                <w:lang w:val="en-US" w:eastAsia="zh-CN"/>
              </w:rPr>
              <w:t>800字以上</w:t>
            </w:r>
          </w:p>
        </w:tc>
        <w:tc>
          <w:tcPr>
            <w:tcW w:w="153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X3</w:t>
            </w:r>
          </w:p>
        </w:tc>
        <w:tc>
          <w:tcPr>
            <w:tcW w:w="4928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lang w:eastAsia="zh-CN"/>
              </w:rPr>
              <w:t>以学习小组为单位，任选一位作家，搜集相关文献，讨论其</w:t>
            </w:r>
            <w:r>
              <w:rPr>
                <w:rFonts w:hint="eastAsia"/>
                <w:bCs/>
                <w:color w:val="000000"/>
                <w:sz w:val="20"/>
              </w:rPr>
              <w:t>作品与生平的关系，</w:t>
            </w:r>
            <w:r>
              <w:rPr>
                <w:rFonts w:hint="eastAsia"/>
                <w:bCs/>
                <w:color w:val="000000"/>
                <w:sz w:val="20"/>
                <w:lang w:eastAsia="zh-CN"/>
              </w:rPr>
              <w:t>形成读书报告一篇，</w:t>
            </w:r>
            <w:r>
              <w:rPr>
                <w:rFonts w:hint="eastAsia"/>
                <w:bCs/>
                <w:color w:val="000000"/>
                <w:sz w:val="20"/>
                <w:lang w:val="en-US" w:eastAsia="zh-CN"/>
              </w:rPr>
              <w:t>1</w:t>
            </w:r>
            <w:r>
              <w:rPr>
                <w:rFonts w:hint="eastAsia"/>
                <w:bCs/>
                <w:color w:val="000000"/>
                <w:sz w:val="20"/>
              </w:rPr>
              <w:t>500字以上</w:t>
            </w:r>
          </w:p>
        </w:tc>
        <w:tc>
          <w:tcPr>
            <w:tcW w:w="153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bookmarkStart w:id="0" w:name="_GoBack"/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20%</w:t>
            </w:r>
            <w:bookmarkEnd w:id="0"/>
          </w:p>
        </w:tc>
      </w:tr>
    </w:tbl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360" w:lineRule="auto"/>
        <w:rPr>
          <w:sz w:val="28"/>
          <w:szCs w:val="28"/>
        </w:rPr>
      </w:pPr>
      <w:r>
        <w:rPr>
          <w:rFonts w:hint="eastAsia"/>
          <w:szCs w:val="21"/>
        </w:rPr>
        <w:t>撰写人：褚为强     系主任审核签名：</w:t>
      </w:r>
      <w:r>
        <w:rPr>
          <w:rFonts w:hint="eastAsia"/>
          <w:szCs w:val="21"/>
          <w:lang w:val="en-US" w:eastAsia="zh-CN"/>
        </w:rPr>
        <w:t xml:space="preserve">               </w:t>
      </w:r>
      <w:r>
        <w:rPr>
          <w:rFonts w:hint="eastAsia"/>
          <w:szCs w:val="21"/>
        </w:rPr>
        <w:t>审核时间：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Times New Roman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40C2D"/>
    <w:multiLevelType w:val="singleLevel"/>
    <w:tmpl w:val="85540C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7362F"/>
    <w:rsid w:val="001F4A01"/>
    <w:rsid w:val="00256B39"/>
    <w:rsid w:val="0026033C"/>
    <w:rsid w:val="002E3721"/>
    <w:rsid w:val="002F0369"/>
    <w:rsid w:val="002F1A16"/>
    <w:rsid w:val="00313BBA"/>
    <w:rsid w:val="0032602E"/>
    <w:rsid w:val="003367AE"/>
    <w:rsid w:val="003A703A"/>
    <w:rsid w:val="004100B0"/>
    <w:rsid w:val="004B76A0"/>
    <w:rsid w:val="004D612A"/>
    <w:rsid w:val="004D6EA1"/>
    <w:rsid w:val="005467DC"/>
    <w:rsid w:val="00553D03"/>
    <w:rsid w:val="005A0F59"/>
    <w:rsid w:val="005B2B6D"/>
    <w:rsid w:val="005B4B4E"/>
    <w:rsid w:val="00624FE1"/>
    <w:rsid w:val="007208D6"/>
    <w:rsid w:val="008801CD"/>
    <w:rsid w:val="00894B9B"/>
    <w:rsid w:val="008B167F"/>
    <w:rsid w:val="008B397C"/>
    <w:rsid w:val="008B47F4"/>
    <w:rsid w:val="00900019"/>
    <w:rsid w:val="0099063E"/>
    <w:rsid w:val="00A842B9"/>
    <w:rsid w:val="00B511A5"/>
    <w:rsid w:val="00B7651F"/>
    <w:rsid w:val="00C56E09"/>
    <w:rsid w:val="00C721FD"/>
    <w:rsid w:val="00E16D30"/>
    <w:rsid w:val="00E33169"/>
    <w:rsid w:val="00E70904"/>
    <w:rsid w:val="00EE1EFB"/>
    <w:rsid w:val="00EF44B1"/>
    <w:rsid w:val="00F35AA0"/>
    <w:rsid w:val="00FF2C61"/>
    <w:rsid w:val="024B0C39"/>
    <w:rsid w:val="03172B34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4D6421AB"/>
    <w:rsid w:val="50AF2B1A"/>
    <w:rsid w:val="51995660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297</Words>
  <Characters>1698</Characters>
  <Lines>14</Lines>
  <Paragraphs>3</Paragraphs>
  <TotalTime>6</TotalTime>
  <ScaleCrop>false</ScaleCrop>
  <LinksUpToDate>false</LinksUpToDate>
  <CharactersWithSpaces>1992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2018-09-06T06:58:00Z</dcterms:created>
  <dc:creator>juvg</dc:creator>
  <cp:lastModifiedBy>111111</cp:lastModifiedBy>
  <dcterms:modified xsi:type="dcterms:W3CDTF">2018-10-10T02:38:35Z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