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楷体" w:hAnsi="楷体" w:eastAsia="楷体" w:cs="宋体"/>
          <w:color w:val="000000"/>
          <w:kern w:val="0"/>
          <w:sz w:val="22"/>
        </w:rPr>
      </w:pPr>
      <w:r>
        <w:pict>
          <v:shape id="文本框 1" o:spid="_x0000_s1026" o:spt="202" type="#_x0000_t202" style="position:absolute;left:0pt;margin-left:41.8pt;margin-top:27.55pt;height:22.1pt;width:207.5pt;mso-position-horizontal-relative:page;mso-position-vertical-relative:page;z-index:251658240;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v:textbox>
          </v:shape>
        </w:pict>
      </w:r>
    </w:p>
    <w:p>
      <w:pPr>
        <w:widowControl/>
        <w:snapToGrid w:val="0"/>
        <w:spacing w:line="480" w:lineRule="exact"/>
        <w:jc w:val="center"/>
        <w:rPr>
          <w:rFonts w:ascii="方正小标宋简体" w:hAnsi="宋体" w:eastAsia="方正小标宋简体"/>
          <w:bCs/>
          <w:kern w:val="0"/>
          <w:sz w:val="24"/>
          <w:szCs w:val="24"/>
        </w:rPr>
      </w:pPr>
      <w:r>
        <w:rPr>
          <w:rFonts w:hint="eastAsia" w:ascii="方正小标宋简体" w:hAnsi="宋体" w:eastAsiaTheme="minorEastAsia"/>
          <w:bCs/>
          <w:kern w:val="0"/>
          <w:sz w:val="40"/>
          <w:szCs w:val="40"/>
        </w:rPr>
        <w:t xml:space="preserve">          </w:t>
      </w:r>
      <w:r>
        <w:rPr>
          <w:rFonts w:hint="eastAsia" w:ascii="方正小标宋简体" w:hAnsi="宋体" w:eastAsia="方正小标宋简体"/>
          <w:bCs/>
          <w:kern w:val="0"/>
          <w:sz w:val="40"/>
          <w:szCs w:val="40"/>
        </w:rPr>
        <w:t>通识课课程教学大纲</w:t>
      </w:r>
      <w:r>
        <w:rPr>
          <w:rFonts w:hint="eastAsia" w:ascii="方正小标宋简体" w:hAnsi="宋体"/>
          <w:bCs/>
          <w:kern w:val="0"/>
          <w:sz w:val="24"/>
          <w:szCs w:val="24"/>
        </w:rPr>
        <w:t>（</w:t>
      </w:r>
      <w:r>
        <w:rPr>
          <w:rFonts w:hint="eastAsia"/>
          <w:sz w:val="32"/>
          <w:szCs w:val="32"/>
        </w:rPr>
        <w:t>2017.6.30版</w:t>
      </w:r>
      <w:r>
        <w:rPr>
          <w:rFonts w:hint="eastAsia" w:ascii="方正小标宋简体" w:hAnsi="宋体"/>
          <w:bCs/>
          <w:kern w:val="0"/>
          <w:sz w:val="24"/>
          <w:szCs w:val="24"/>
        </w:rPr>
        <w:t>）</w:t>
      </w:r>
    </w:p>
    <w:p>
      <w:pPr>
        <w:spacing w:line="288" w:lineRule="auto"/>
        <w:jc w:val="center"/>
        <w:rPr>
          <w:b/>
          <w:sz w:val="28"/>
          <w:szCs w:val="30"/>
        </w:rPr>
      </w:pPr>
      <w:r>
        <w:rPr>
          <w:rFonts w:hint="eastAsia"/>
          <w:b/>
          <w:sz w:val="28"/>
          <w:szCs w:val="30"/>
        </w:rPr>
        <w:t>【文学作品欣赏】</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Appreciation of literary works</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bookmarkStart w:id="4" w:name="_GoBack"/>
      <w:bookmarkEnd w:id="4"/>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lang w:val="en-US" w:eastAsia="zh-CN"/>
        </w:rPr>
        <w:t>2038066</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2学分</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ascii="宋体" w:hAnsi="宋体"/>
          <w:sz w:val="20"/>
          <w:szCs w:val="20"/>
        </w:rPr>
        <w:t>全校各专业</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通识教育选修课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color w:val="000000"/>
          <w:sz w:val="20"/>
          <w:szCs w:val="20"/>
        </w:rPr>
        <w:t>新闻传播学院</w:t>
      </w:r>
    </w:p>
    <w:p>
      <w:pPr>
        <w:pStyle w:val="2"/>
        <w:spacing w:before="0" w:beforeAutospacing="0" w:after="0" w:afterAutospacing="0"/>
        <w:rPr>
          <w:color w:val="000000"/>
          <w:sz w:val="20"/>
          <w:szCs w:val="20"/>
        </w:rPr>
      </w:pPr>
      <w:r>
        <w:rPr>
          <w:color w:val="000000"/>
          <w:sz w:val="20"/>
          <w:szCs w:val="20"/>
        </w:rPr>
        <w:t>使用教材：</w:t>
      </w:r>
    </w:p>
    <w:p>
      <w:pPr>
        <w:pStyle w:val="2"/>
        <w:spacing w:before="0" w:beforeAutospacing="0" w:after="0" w:afterAutospacing="0"/>
        <w:ind w:left="600" w:hanging="600" w:hangingChars="300"/>
        <w:rPr>
          <w:rFonts w:ascii="Times New Roman" w:hAnsi="Times New Roman" w:cs="Times New Roman"/>
          <w:b w:val="0"/>
          <w:bCs w:val="0"/>
          <w:color w:val="000000"/>
          <w:kern w:val="2"/>
          <w:sz w:val="20"/>
          <w:szCs w:val="20"/>
        </w:rPr>
      </w:pPr>
      <w:r>
        <w:rPr>
          <w:rFonts w:ascii="Times New Roman" w:hAnsi="Times New Roman" w:cs="Times New Roman"/>
          <w:b w:val="0"/>
          <w:bCs w:val="0"/>
          <w:color w:val="000000"/>
          <w:kern w:val="2"/>
          <w:sz w:val="20"/>
          <w:szCs w:val="20"/>
        </w:rPr>
        <w:t>教材</w:t>
      </w:r>
      <w:r>
        <w:rPr>
          <w:rFonts w:hint="eastAsia" w:ascii="Times New Roman" w:hAnsi="Times New Roman" w:cs="Times New Roman"/>
          <w:b w:val="0"/>
          <w:bCs w:val="0"/>
          <w:color w:val="000000"/>
          <w:kern w:val="2"/>
          <w:sz w:val="20"/>
          <w:szCs w:val="20"/>
        </w:rPr>
        <w:t>【《</w:t>
      </w:r>
      <w:r>
        <w:rPr>
          <w:rFonts w:ascii="Times New Roman" w:hAnsi="Times New Roman" w:cs="Times New Roman"/>
          <w:b w:val="0"/>
          <w:bCs w:val="0"/>
          <w:color w:val="000000"/>
          <w:kern w:val="2"/>
          <w:sz w:val="20"/>
          <w:szCs w:val="20"/>
        </w:rPr>
        <w:t>文学作品阅读与欣赏（第四版）</w:t>
      </w:r>
      <w:r>
        <w:rPr>
          <w:rFonts w:hint="eastAsia" w:ascii="Times New Roman" w:hAnsi="Times New Roman" w:cs="Times New Roman"/>
          <w:b w:val="0"/>
          <w:bCs w:val="0"/>
          <w:color w:val="000000"/>
          <w:kern w:val="2"/>
          <w:sz w:val="20"/>
          <w:szCs w:val="20"/>
        </w:rPr>
        <w:t>》</w:t>
      </w:r>
      <w:r>
        <w:rPr>
          <w:rFonts w:ascii="Times New Roman" w:hAnsi="Times New Roman" w:cs="Times New Roman"/>
          <w:b w:val="0"/>
          <w:bCs w:val="0"/>
          <w:color w:val="000000"/>
          <w:kern w:val="2"/>
          <w:sz w:val="20"/>
          <w:szCs w:val="20"/>
        </w:rPr>
        <w:t>乔正康</w:t>
      </w:r>
      <w:r>
        <w:rPr>
          <w:rFonts w:hint="eastAsia" w:ascii="Times New Roman" w:hAnsi="Times New Roman" w:cs="Times New Roman"/>
          <w:b w:val="0"/>
          <w:bCs w:val="0"/>
          <w:color w:val="000000"/>
          <w:kern w:val="2"/>
          <w:sz w:val="20"/>
          <w:szCs w:val="20"/>
        </w:rPr>
        <w:t>，</w:t>
      </w:r>
      <w:r>
        <w:fldChar w:fldCharType="begin"/>
      </w:r>
      <w:r>
        <w:instrText xml:space="preserve"> HYPERLINK "http://search.dangdang.com/?key3=%B6%AB%B1%B1%B2%C6%BE%AD%B4%F3%D1%A7%B3%F6%B0%E6%C9%E7%D3%D0%CF%DE%D4%F0%C8%CE%B9%AB%CB%BE&amp;medium=01&amp;category_path=01.00.00.00.00.00" \t "_blank" </w:instrText>
      </w:r>
      <w:r>
        <w:fldChar w:fldCharType="separate"/>
      </w:r>
      <w:r>
        <w:rPr>
          <w:rFonts w:ascii="Times New Roman" w:hAnsi="Times New Roman" w:cs="Times New Roman"/>
          <w:b w:val="0"/>
          <w:bCs w:val="0"/>
          <w:color w:val="000000"/>
          <w:kern w:val="2"/>
          <w:sz w:val="20"/>
          <w:szCs w:val="20"/>
        </w:rPr>
        <w:t>东北财经大学出版社有限责任公司</w:t>
      </w:r>
      <w:r>
        <w:rPr>
          <w:rFonts w:ascii="Times New Roman" w:hAnsi="Times New Roman" w:cs="Times New Roman"/>
          <w:b w:val="0"/>
          <w:bCs w:val="0"/>
          <w:color w:val="000000"/>
          <w:kern w:val="2"/>
          <w:sz w:val="20"/>
          <w:szCs w:val="20"/>
        </w:rPr>
        <w:fldChar w:fldCharType="end"/>
      </w:r>
      <w:r>
        <w:rPr>
          <w:rFonts w:hint="eastAsia" w:ascii="Times New Roman" w:hAnsi="Times New Roman" w:cs="Times New Roman"/>
          <w:b w:val="0"/>
          <w:bCs w:val="0"/>
          <w:color w:val="000000"/>
          <w:kern w:val="2"/>
          <w:sz w:val="20"/>
          <w:szCs w:val="20"/>
        </w:rPr>
        <w:t>，</w:t>
      </w:r>
      <w:r>
        <w:rPr>
          <w:rFonts w:ascii="Times New Roman" w:hAnsi="Times New Roman" w:cs="Times New Roman"/>
          <w:b w:val="0"/>
          <w:bCs w:val="0"/>
          <w:color w:val="000000"/>
          <w:kern w:val="2"/>
          <w:sz w:val="20"/>
          <w:szCs w:val="20"/>
        </w:rPr>
        <w:t>2018年03月 </w:t>
      </w:r>
      <w:r>
        <w:rPr>
          <w:rFonts w:hint="eastAsia" w:ascii="Times New Roman" w:hAnsi="Times New Roman" w:cs="Times New Roman"/>
          <w:b w:val="0"/>
          <w:bCs w:val="0"/>
          <w:color w:val="000000"/>
          <w:kern w:val="2"/>
          <w:sz w:val="20"/>
          <w:szCs w:val="20"/>
        </w:rPr>
        <w:t>】</w:t>
      </w:r>
    </w:p>
    <w:p>
      <w:pPr>
        <w:snapToGrid w:val="0"/>
        <w:spacing w:line="288" w:lineRule="auto"/>
        <w:rPr>
          <w:rFonts w:ascii="Times New Roman" w:hAnsi="Times New Roman"/>
          <w:color w:val="000000"/>
          <w:sz w:val="20"/>
          <w:szCs w:val="20"/>
        </w:rPr>
      </w:pPr>
      <w:r>
        <w:rPr>
          <w:rFonts w:ascii="Times New Roman" w:hAnsi="Times New Roman"/>
          <w:color w:val="000000"/>
          <w:sz w:val="20"/>
          <w:szCs w:val="20"/>
        </w:rPr>
        <w:t>参考</w:t>
      </w:r>
      <w:r>
        <w:rPr>
          <w:rFonts w:hint="eastAsia" w:ascii="Times New Roman" w:hAnsi="Times New Roman"/>
          <w:color w:val="000000"/>
          <w:sz w:val="20"/>
          <w:szCs w:val="20"/>
        </w:rPr>
        <w:t>书目</w:t>
      </w:r>
    </w:p>
    <w:p>
      <w:pPr>
        <w:snapToGrid w:val="0"/>
        <w:spacing w:line="288" w:lineRule="auto"/>
        <w:ind w:firstLine="400" w:firstLineChars="200"/>
        <w:rPr>
          <w:color w:val="000000"/>
          <w:sz w:val="20"/>
          <w:szCs w:val="20"/>
        </w:rPr>
      </w:pPr>
      <w:r>
        <w:rPr>
          <w:color w:val="000000"/>
          <w:sz w:val="20"/>
          <w:szCs w:val="20"/>
        </w:rPr>
        <w:t>【《</w:t>
      </w:r>
      <w:r>
        <w:rPr>
          <w:rFonts w:hint="eastAsia"/>
          <w:color w:val="000000"/>
          <w:sz w:val="20"/>
          <w:szCs w:val="20"/>
        </w:rPr>
        <w:t>中国现当代文学名著导读</w:t>
      </w:r>
      <w:r>
        <w:rPr>
          <w:color w:val="000000"/>
          <w:sz w:val="20"/>
          <w:szCs w:val="20"/>
        </w:rPr>
        <w:t>》</w:t>
      </w:r>
      <w:r>
        <w:rPr>
          <w:rFonts w:hint="eastAsia"/>
          <w:color w:val="000000"/>
          <w:sz w:val="20"/>
          <w:szCs w:val="20"/>
        </w:rPr>
        <w:t>钱理群，北京大学出版社，2015年12月</w:t>
      </w:r>
      <w:r>
        <w:rPr>
          <w:color w:val="000000"/>
          <w:sz w:val="20"/>
          <w:szCs w:val="20"/>
        </w:rPr>
        <w:t>】</w:t>
      </w:r>
    </w:p>
    <w:p>
      <w:pPr>
        <w:snapToGrid w:val="0"/>
        <w:spacing w:line="288" w:lineRule="auto"/>
        <w:ind w:firstLine="400" w:firstLineChars="200"/>
        <w:rPr>
          <w:color w:val="000000"/>
          <w:sz w:val="20"/>
          <w:szCs w:val="20"/>
        </w:rPr>
      </w:pPr>
      <w:r>
        <w:rPr>
          <w:color w:val="000000"/>
          <w:sz w:val="20"/>
          <w:szCs w:val="20"/>
        </w:rPr>
        <w:t>【《中国现当代文学作品选读(修订版)》肖涛、李玲</w:t>
      </w:r>
      <w:r>
        <w:rPr>
          <w:rFonts w:hint="eastAsia"/>
          <w:color w:val="000000"/>
          <w:sz w:val="20"/>
          <w:szCs w:val="20"/>
        </w:rPr>
        <w:t>，西北工业大学出版社，2014年版</w:t>
      </w:r>
      <w:r>
        <w:rPr>
          <w:color w:val="000000"/>
          <w:sz w:val="20"/>
          <w:szCs w:val="20"/>
        </w:rPr>
        <w:t>】</w:t>
      </w:r>
    </w:p>
    <w:p>
      <w:pPr>
        <w:snapToGrid w:val="0"/>
        <w:spacing w:line="288" w:lineRule="auto"/>
        <w:ind w:firstLine="400" w:firstLineChars="200"/>
        <w:rPr>
          <w:rFonts w:ascii="Times New Roman" w:hAnsi="Times New Roman"/>
          <w:color w:val="000000"/>
          <w:sz w:val="20"/>
          <w:szCs w:val="20"/>
        </w:rPr>
      </w:pPr>
      <w:r>
        <w:rPr>
          <w:rFonts w:ascii="Times New Roman" w:hAnsi="Times New Roman"/>
          <w:color w:val="000000"/>
          <w:sz w:val="20"/>
          <w:szCs w:val="20"/>
        </w:rPr>
        <w:t>【</w:t>
      </w:r>
      <w:r>
        <w:rPr>
          <w:rFonts w:hint="eastAsia"/>
          <w:color w:val="000000"/>
          <w:sz w:val="20"/>
          <w:szCs w:val="20"/>
        </w:rPr>
        <w:t>《</w:t>
      </w:r>
      <w:bookmarkStart w:id="1" w:name="itemlist-title"/>
      <w:r>
        <w:rPr>
          <w:color w:val="000000"/>
          <w:sz w:val="20"/>
          <w:szCs w:val="20"/>
        </w:rPr>
        <w:t>外国文学作品选</w:t>
      </w:r>
      <w:bookmarkEnd w:id="1"/>
      <w:r>
        <w:rPr>
          <w:rFonts w:hint="eastAsia"/>
          <w:color w:val="000000"/>
          <w:sz w:val="20"/>
          <w:szCs w:val="20"/>
        </w:rPr>
        <w:t>》</w:t>
      </w:r>
      <w:r>
        <w:fldChar w:fldCharType="begin"/>
      </w:r>
      <w:r>
        <w:instrText xml:space="preserve"> HYPERLINK "http://search.dangdang.com/?key2=聂珍钊&amp;medium=01&amp;category_path=01.00.00.00.00.00" \o "聂珍钊 苏晖" </w:instrText>
      </w:r>
      <w:r>
        <w:fldChar w:fldCharType="separate"/>
      </w:r>
      <w:r>
        <w:rPr>
          <w:color w:val="000000"/>
          <w:sz w:val="20"/>
          <w:szCs w:val="20"/>
        </w:rPr>
        <w:t>聂珍钊</w:t>
      </w:r>
      <w:r>
        <w:rPr>
          <w:color w:val="000000"/>
          <w:sz w:val="20"/>
          <w:szCs w:val="20"/>
        </w:rPr>
        <w:fldChar w:fldCharType="end"/>
      </w:r>
      <w:bookmarkStart w:id="2" w:name="itemlist-author"/>
      <w:r>
        <w:rPr>
          <w:rFonts w:hint="eastAsia"/>
          <w:color w:val="000000"/>
          <w:sz w:val="20"/>
          <w:szCs w:val="20"/>
        </w:rPr>
        <w:t>、</w:t>
      </w:r>
      <w:r>
        <w:fldChar w:fldCharType="begin"/>
      </w:r>
      <w:r>
        <w:instrText xml:space="preserve"> HYPERLINK "http://search.dangdang.com/?key2=苏晖&amp;medium=01&amp;category_path=01.00.00.00.00.00" \o "聂珍钊 苏晖" </w:instrText>
      </w:r>
      <w:r>
        <w:fldChar w:fldCharType="separate"/>
      </w:r>
      <w:r>
        <w:rPr>
          <w:color w:val="000000"/>
          <w:sz w:val="20"/>
          <w:szCs w:val="20"/>
        </w:rPr>
        <w:t>苏晖</w:t>
      </w:r>
      <w:r>
        <w:rPr>
          <w:color w:val="000000"/>
          <w:sz w:val="20"/>
          <w:szCs w:val="20"/>
        </w:rPr>
        <w:fldChar w:fldCharType="end"/>
      </w:r>
      <w:bookmarkEnd w:id="2"/>
      <w:r>
        <w:rPr>
          <w:rFonts w:hint="eastAsia"/>
          <w:color w:val="000000"/>
          <w:sz w:val="20"/>
          <w:szCs w:val="20"/>
        </w:rPr>
        <w:t>著，</w:t>
      </w:r>
      <w:bookmarkStart w:id="3" w:name="P_cbs"/>
      <w:r>
        <w:rPr>
          <w:color w:val="000000"/>
          <w:sz w:val="20"/>
          <w:szCs w:val="20"/>
        </w:rPr>
        <w:fldChar w:fldCharType="begin"/>
      </w:r>
      <w:r>
        <w:rPr>
          <w:color w:val="000000"/>
          <w:sz w:val="20"/>
          <w:szCs w:val="20"/>
        </w:rPr>
        <w:instrText xml:space="preserve"> HYPERLINK "http://search.dangdang.com/?key=&amp;key3=%B8%DF%B5%C8%BD%CC%D3%FD%B3%F6%B0%E6%C9%E7&amp;medium=01&amp;category_path=01.00.00.00.00.00" \o "高等教育出版社" </w:instrText>
      </w:r>
      <w:r>
        <w:rPr>
          <w:color w:val="000000"/>
          <w:sz w:val="20"/>
          <w:szCs w:val="20"/>
        </w:rPr>
        <w:fldChar w:fldCharType="separate"/>
      </w:r>
      <w:r>
        <w:rPr>
          <w:color w:val="000000"/>
          <w:sz w:val="20"/>
          <w:szCs w:val="20"/>
        </w:rPr>
        <w:t>高等教育出版社</w:t>
      </w:r>
      <w:r>
        <w:rPr>
          <w:color w:val="000000"/>
          <w:sz w:val="20"/>
          <w:szCs w:val="20"/>
        </w:rPr>
        <w:fldChar w:fldCharType="end"/>
      </w:r>
      <w:bookmarkEnd w:id="3"/>
      <w:r>
        <w:rPr>
          <w:rFonts w:hint="eastAsia"/>
          <w:color w:val="000000"/>
          <w:sz w:val="20"/>
          <w:szCs w:val="20"/>
        </w:rPr>
        <w:t>，2017年9月</w:t>
      </w:r>
      <w:r>
        <w:rPr>
          <w:rFonts w:ascii="Times New Roman" w:hAnsi="Times New Roman"/>
          <w:color w:val="000000"/>
          <w:sz w:val="20"/>
          <w:szCs w:val="20"/>
        </w:rPr>
        <w:t>】</w:t>
      </w:r>
    </w:p>
    <w:p>
      <w:pPr>
        <w:snapToGrid w:val="0"/>
        <w:spacing w:line="288" w:lineRule="auto"/>
        <w:ind w:firstLine="394" w:firstLineChars="196"/>
        <w:rPr>
          <w:color w:val="000000"/>
          <w:sz w:val="20"/>
          <w:szCs w:val="20"/>
          <w:highlight w:val="yellow"/>
        </w:rPr>
      </w:pPr>
      <w:r>
        <w:rPr>
          <w:rFonts w:hint="eastAsia"/>
          <w:b/>
          <w:bCs/>
          <w:color w:val="000000"/>
          <w:sz w:val="20"/>
          <w:szCs w:val="20"/>
          <w:highlight w:val="yellow"/>
        </w:rPr>
        <w:t>课程网站网址：</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【需列出先修课程的名称、代码和学分数</w:t>
      </w:r>
      <w:r>
        <w:rPr>
          <w:rFonts w:hint="eastAsia"/>
          <w:color w:val="000000"/>
          <w:sz w:val="20"/>
          <w:szCs w:val="20"/>
        </w:rPr>
        <w:t>。</w:t>
      </w:r>
      <w:r>
        <w:rPr>
          <w:color w:val="000000"/>
          <w:sz w:val="20"/>
          <w:szCs w:val="20"/>
        </w:rPr>
        <w:t>例：高等数学A 010001（5）】</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pPr>
        <w:ind w:firstLine="400" w:firstLineChars="200"/>
        <w:rPr>
          <w:sz w:val="20"/>
          <w:szCs w:val="20"/>
        </w:rPr>
      </w:pPr>
      <w:r>
        <w:rPr>
          <w:rFonts w:hint="eastAsia"/>
          <w:sz w:val="20"/>
          <w:szCs w:val="20"/>
        </w:rPr>
        <w:t>《文学作品欣赏》这门选修课，精选了一些中国现当代著名作家的一些代表作以及现当代的一些外国文学作品供学生学习欣赏，以拓展学生的阅读面。开设这门课的目的在于，一方面向学生传播现当代优秀文化，通过了解国内外的一些著名文学作品，对富含人文精神的代表性作品的阅读与分析灌输学生人文精神，培养学生综合性民族文化素质，增强民族责任、关爱他人、服务社会的意识；另一方面丰富学生的文学知识，提高学生文学作品的审美能力和欣赏水平，开阔视野，启迪心智，陶冶情操，开拓学生的思维空间，提高学生的创新能力，增强学生的人文素养，加强学生的人文素质教育。通过这门课程的学习，学生将对个人的成长、人生的思考等都会有一定的帮助，对学生的自主学习的精神、表达沟通的能力等方面也都会有一定的提高，以及在学习过程中培养的查阅资料、阅读能力、思考精神、写作能力等各方面也都相应地会有一定的帮助。</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选课建议（必填项）</w:t>
      </w:r>
    </w:p>
    <w:p>
      <w:pPr>
        <w:snapToGrid w:val="0"/>
        <w:spacing w:line="288" w:lineRule="auto"/>
        <w:ind w:firstLine="400" w:firstLineChars="200"/>
        <w:rPr>
          <w:color w:val="000000"/>
          <w:sz w:val="20"/>
          <w:szCs w:val="20"/>
        </w:rPr>
      </w:pPr>
      <w:r>
        <w:rPr>
          <w:rFonts w:hint="eastAsia"/>
          <w:color w:val="000000"/>
          <w:sz w:val="20"/>
          <w:szCs w:val="20"/>
        </w:rPr>
        <w:t>该课程适合全校各专业年级选修，尤其建议喜爱文学的同学选修。</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highlight w:val="yellow"/>
        </w:rPr>
        <w:t>四、</w:t>
      </w:r>
      <w:r>
        <w:rPr>
          <w:rFonts w:ascii="黑体" w:hAnsi="宋体" w:eastAsia="黑体"/>
          <w:sz w:val="24"/>
          <w:highlight w:val="yellow"/>
        </w:rPr>
        <w:t>课程</w:t>
      </w:r>
      <w:r>
        <w:rPr>
          <w:rFonts w:hint="eastAsia" w:ascii="黑体" w:hAnsi="宋体" w:eastAsia="黑体"/>
          <w:sz w:val="24"/>
          <w:highlight w:val="yellow"/>
        </w:rPr>
        <w:t>目标/课程预期学习成果</w:t>
      </w:r>
      <w:r>
        <w:rPr>
          <w:rFonts w:ascii="黑体" w:hAnsi="宋体" w:eastAsia="黑体"/>
          <w:sz w:val="24"/>
          <w:highlight w:val="yellow"/>
        </w:rPr>
        <w:t>（必填项）（</w:t>
      </w:r>
      <w:r>
        <w:rPr>
          <w:rFonts w:hint="eastAsia" w:ascii="黑体" w:hAnsi="宋体" w:eastAsia="黑体"/>
          <w:sz w:val="24"/>
          <w:highlight w:val="yellow"/>
        </w:rPr>
        <w:t>预期学习成果</w:t>
      </w:r>
      <w:r>
        <w:rPr>
          <w:rFonts w:ascii="黑体" w:hAnsi="宋体" w:eastAsia="黑体"/>
          <w:sz w:val="24"/>
          <w:highlight w:val="yellow"/>
        </w:rPr>
        <w:t>要可测量/能够证明）</w:t>
      </w:r>
    </w:p>
    <w:p>
      <w:pPr>
        <w:spacing w:line="360" w:lineRule="auto"/>
        <w:ind w:firstLine="500" w:firstLineChars="250"/>
        <w:rPr>
          <w:color w:val="FF0000"/>
          <w:sz w:val="20"/>
          <w:szCs w:val="20"/>
          <w:highlight w:val="yellow"/>
        </w:rPr>
      </w:pPr>
      <w:r>
        <w:rPr>
          <w:rFonts w:hint="eastAsia"/>
          <w:bCs/>
          <w:sz w:val="20"/>
          <w:szCs w:val="20"/>
          <w:highlight w:val="yellow"/>
        </w:rPr>
        <w:t>课程预期学习成果必须写到指标点，只写三级编码即可。“课程目标”这列要写清楚细化的预期学习成果，撰写时必须用适当的行为动词引导。</w:t>
      </w:r>
    </w:p>
    <w:tbl>
      <w:tblPr>
        <w:tblStyle w:val="7"/>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highlight w:val="yellow"/>
              </w:rPr>
              <w:t>（细化的预期学习成果</w:t>
            </w:r>
            <w:r>
              <w:rPr>
                <w:rFonts w:hint="eastAsia"/>
                <w:b/>
                <w:color w:val="000000"/>
                <w:sz w:val="20"/>
                <w:szCs w:val="20"/>
              </w:rPr>
              <w:t>）</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jc w:val="center"/>
              <w:rPr>
                <w:rFonts w:ascii="仿宋" w:hAnsi="仿宋" w:eastAsia="仿宋" w:cs="宋体"/>
                <w:color w:val="000000"/>
                <w:kern w:val="0"/>
                <w:sz w:val="24"/>
              </w:rPr>
            </w:pPr>
            <w:r>
              <w:rPr>
                <w:rFonts w:hint="eastAsia" w:cs="宋体" w:asciiTheme="minorEastAsia" w:hAnsiTheme="minorEastAsia" w:eastAsiaTheme="minorEastAsia"/>
                <w:color w:val="000000"/>
                <w:kern w:val="0"/>
                <w:sz w:val="20"/>
                <w:szCs w:val="20"/>
              </w:rPr>
              <w:t>LO112</w:t>
            </w:r>
          </w:p>
        </w:tc>
        <w:tc>
          <w:tcPr>
            <w:tcW w:w="2470" w:type="dxa"/>
            <w:shd w:val="clear" w:color="auto" w:fill="auto"/>
          </w:tcPr>
          <w:p>
            <w:pPr>
              <w:rPr>
                <w:rFonts w:ascii="仿宋" w:hAnsi="仿宋" w:eastAsia="仿宋" w:cs="宋体"/>
                <w:color w:val="000000"/>
                <w:kern w:val="0"/>
                <w:sz w:val="24"/>
              </w:rPr>
            </w:pPr>
            <w:r>
              <w:rPr>
                <w:rFonts w:hint="eastAsia" w:cs="宋体" w:asciiTheme="minorEastAsia" w:hAnsiTheme="minorEastAsia" w:eastAsiaTheme="minorEastAsia"/>
                <w:color w:val="000000"/>
                <w:kern w:val="0"/>
                <w:sz w:val="20"/>
                <w:szCs w:val="20"/>
              </w:rPr>
              <w:t>应用书面或口头形式，阐释自己的观点，有效沟通。</w:t>
            </w:r>
          </w:p>
        </w:tc>
        <w:tc>
          <w:tcPr>
            <w:tcW w:w="2199" w:type="dxa"/>
            <w:shd w:val="clear" w:color="auto" w:fill="auto"/>
          </w:tcPr>
          <w:p>
            <w:pPr>
              <w:snapToGrid w:val="0"/>
              <w:spacing w:line="288" w:lineRule="auto"/>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课堂授课</w:t>
            </w:r>
          </w:p>
          <w:p>
            <w:pPr>
              <w:snapToGrid w:val="0"/>
              <w:spacing w:line="288" w:lineRule="auto"/>
              <w:jc w:val="center"/>
              <w:rPr>
                <w:rFonts w:cs="宋体" w:asciiTheme="minorEastAsia" w:hAnsiTheme="minorEastAsia" w:eastAsiaTheme="minorEastAsia"/>
                <w:color w:val="000000"/>
                <w:kern w:val="0"/>
                <w:sz w:val="20"/>
                <w:szCs w:val="20"/>
              </w:rPr>
            </w:pPr>
            <w:r>
              <w:rPr>
                <w:rFonts w:cs="宋体" w:asciiTheme="minorEastAsia" w:hAnsiTheme="minorEastAsia" w:eastAsiaTheme="minorEastAsia"/>
                <w:color w:val="000000"/>
                <w:kern w:val="0"/>
                <w:sz w:val="20"/>
                <w:szCs w:val="20"/>
              </w:rPr>
              <w:t>写作训练</w:t>
            </w:r>
          </w:p>
        </w:tc>
        <w:tc>
          <w:tcPr>
            <w:tcW w:w="1276" w:type="dxa"/>
            <w:shd w:val="clear" w:color="auto" w:fill="auto"/>
          </w:tcPr>
          <w:p>
            <w:pPr>
              <w:snapToGrid w:val="0"/>
              <w:spacing w:line="288" w:lineRule="auto"/>
              <w:jc w:val="center"/>
              <w:rPr>
                <w:rFonts w:ascii="宋体" w:hAnsi="宋体"/>
                <w:sz w:val="20"/>
                <w:szCs w:val="20"/>
              </w:rPr>
            </w:pPr>
            <w:r>
              <w:rPr>
                <w:rFonts w:hint="eastAsia" w:ascii="宋体" w:hAnsi="宋体"/>
                <w:sz w:val="20"/>
                <w:szCs w:val="20"/>
              </w:rPr>
              <w:t>我的家乡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shd w:val="clear" w:color="auto" w:fill="auto"/>
          </w:tcPr>
          <w:p>
            <w:pP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L0212</w:t>
            </w:r>
          </w:p>
        </w:tc>
        <w:tc>
          <w:tcPr>
            <w:tcW w:w="2470" w:type="dxa"/>
            <w:shd w:val="clear" w:color="auto" w:fill="auto"/>
          </w:tcPr>
          <w:p>
            <w:pP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能搜集、获取达到目标所需要的学习资源即阅读经典作品，实施学习计划、反思学习计划、持续改进，达到学习目标即即对作品内容的了解和自己对作品的认识和感悟。</w:t>
            </w:r>
          </w:p>
        </w:tc>
        <w:tc>
          <w:tcPr>
            <w:tcW w:w="2199" w:type="dxa"/>
            <w:shd w:val="clear" w:color="auto" w:fill="auto"/>
          </w:tcPr>
          <w:p>
            <w:pPr>
              <w:snapToGrid w:val="0"/>
              <w:spacing w:line="288" w:lineRule="auto"/>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课堂授课</w:t>
            </w:r>
          </w:p>
          <w:p>
            <w:pPr>
              <w:snapToGrid w:val="0"/>
              <w:spacing w:line="288" w:lineRule="auto"/>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自主学习</w:t>
            </w:r>
          </w:p>
          <w:p>
            <w:pPr>
              <w:snapToGrid w:val="0"/>
              <w:spacing w:line="288" w:lineRule="auto"/>
              <w:jc w:val="center"/>
              <w:rPr>
                <w:rFonts w:ascii="黑体" w:hAnsi="宋体" w:eastAsia="黑体"/>
                <w:sz w:val="24"/>
              </w:rPr>
            </w:pPr>
          </w:p>
        </w:tc>
        <w:tc>
          <w:tcPr>
            <w:tcW w:w="1276" w:type="dxa"/>
            <w:shd w:val="clear" w:color="auto" w:fill="auto"/>
          </w:tcPr>
          <w:p>
            <w:pPr>
              <w:snapToGrid w:val="0"/>
              <w:spacing w:line="288" w:lineRule="auto"/>
              <w:jc w:val="center"/>
              <w:rPr>
                <w:rFonts w:ascii="宋体" w:hAnsi="宋体"/>
                <w:sz w:val="20"/>
                <w:szCs w:val="20"/>
              </w:rPr>
            </w:pPr>
            <w:r>
              <w:rPr>
                <w:rFonts w:hint="eastAsia" w:ascii="宋体" w:hAnsi="宋体"/>
                <w:sz w:val="20"/>
                <w:szCs w:val="20"/>
              </w:rPr>
              <w:t>读后感</w:t>
            </w:r>
          </w:p>
          <w:p>
            <w:pPr>
              <w:snapToGrid w:val="0"/>
              <w:spacing w:line="288" w:lineRule="auto"/>
              <w:jc w:val="center"/>
              <w:rPr>
                <w:rFonts w:ascii="黑体" w:hAnsi="宋体" w:eastAsia="黑体"/>
                <w:sz w:val="24"/>
              </w:rPr>
            </w:pPr>
            <w:r>
              <w:rPr>
                <w:rFonts w:hint="eastAsia" w:ascii="宋体" w:hAnsi="宋体"/>
                <w:sz w:val="20"/>
                <w:szCs w:val="20"/>
              </w:rPr>
              <w:t>并作读书报告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3</w:t>
            </w:r>
          </w:p>
        </w:tc>
        <w:tc>
          <w:tcPr>
            <w:tcW w:w="1175" w:type="dxa"/>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LO712</w:t>
            </w:r>
          </w:p>
        </w:tc>
        <w:tc>
          <w:tcPr>
            <w:tcW w:w="2470" w:type="dxa"/>
            <w:shd w:val="clear" w:color="auto" w:fill="auto"/>
            <w:vAlign w:val="center"/>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富于爱心，懂得感恩，具备助人为乐的品质。</w:t>
            </w:r>
          </w:p>
        </w:tc>
        <w:tc>
          <w:tcPr>
            <w:tcW w:w="2199" w:type="dxa"/>
            <w:shd w:val="clear" w:color="auto" w:fill="auto"/>
          </w:tcPr>
          <w:p>
            <w:pPr>
              <w:snapToGrid w:val="0"/>
              <w:spacing w:line="288" w:lineRule="auto"/>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课堂授课</w:t>
            </w:r>
          </w:p>
          <w:p>
            <w:pPr>
              <w:snapToGrid w:val="0"/>
              <w:spacing w:line="288" w:lineRule="auto"/>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自主学习</w:t>
            </w:r>
          </w:p>
        </w:tc>
        <w:tc>
          <w:tcPr>
            <w:tcW w:w="1276" w:type="dxa"/>
            <w:shd w:val="clear" w:color="auto" w:fill="auto"/>
          </w:tcPr>
          <w:p>
            <w:pPr>
              <w:snapToGrid w:val="0"/>
              <w:spacing w:line="288" w:lineRule="auto"/>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小论文</w:t>
            </w:r>
          </w:p>
        </w:tc>
      </w:tr>
    </w:tbl>
    <w:p>
      <w:pPr>
        <w:snapToGrid w:val="0"/>
        <w:spacing w:line="288" w:lineRule="auto"/>
        <w:rPr>
          <w:rFonts w:cs="宋体" w:asciiTheme="minorEastAsia" w:hAnsiTheme="minorEastAsia" w:eastAsiaTheme="minorEastAsia"/>
          <w:color w:val="000000"/>
          <w:kern w:val="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highlight w:val="yellow"/>
        </w:rPr>
        <w:t>五、</w:t>
      </w:r>
      <w:r>
        <w:rPr>
          <w:rFonts w:ascii="黑体" w:hAnsi="宋体" w:eastAsia="黑体"/>
          <w:sz w:val="24"/>
          <w:highlight w:val="yellow"/>
        </w:rPr>
        <w:t>课程内容（必填项）</w:t>
      </w:r>
    </w:p>
    <w:p>
      <w:pPr>
        <w:snapToGrid w:val="0"/>
        <w:spacing w:line="288" w:lineRule="auto"/>
        <w:ind w:firstLine="400" w:firstLineChars="200"/>
        <w:rPr>
          <w:rFonts w:ascii="宋体" w:hAnsi="宋体"/>
          <w:sz w:val="20"/>
          <w:szCs w:val="20"/>
        </w:rPr>
      </w:pPr>
      <w:r>
        <w:rPr>
          <w:bCs/>
          <w:sz w:val="20"/>
          <w:szCs w:val="20"/>
        </w:rPr>
        <w:t>此处</w:t>
      </w:r>
      <w:r>
        <w:rPr>
          <w:rFonts w:hint="eastAsia" w:ascii="宋体" w:hAnsi="宋体"/>
          <w:sz w:val="20"/>
          <w:szCs w:val="20"/>
          <w:highlight w:val="yellow"/>
        </w:rPr>
        <w:t>分单元</w:t>
      </w:r>
      <w:r>
        <w:rPr>
          <w:rFonts w:hint="eastAsia"/>
          <w:bCs/>
          <w:sz w:val="20"/>
          <w:szCs w:val="20"/>
        </w:rPr>
        <w:t>列出教学的知识点和能力要求。知识点</w:t>
      </w:r>
      <w:r>
        <w:rPr>
          <w:rFonts w:ascii="宋体" w:hAnsi="宋体"/>
          <w:sz w:val="20"/>
          <w:szCs w:val="20"/>
        </w:rPr>
        <w:t>用</w:t>
      </w:r>
      <w:r>
        <w:rPr>
          <w:rFonts w:hint="eastAsia" w:ascii="宋体" w:hAnsi="宋体"/>
          <w:sz w:val="20"/>
          <w:szCs w:val="20"/>
        </w:rPr>
        <w:t>布鲁姆认知能力的</w:t>
      </w:r>
      <w:r>
        <w:rPr>
          <w:rFonts w:hint="eastAsia" w:ascii="宋体" w:hAnsi="宋体"/>
          <w:bCs/>
          <w:sz w:val="20"/>
          <w:szCs w:val="20"/>
        </w:rPr>
        <w:t>6</w:t>
      </w:r>
      <w:r>
        <w:rPr>
          <w:rFonts w:hint="eastAsia" w:ascii="宋体" w:hAnsi="宋体"/>
          <w:sz w:val="20"/>
          <w:szCs w:val="20"/>
        </w:rPr>
        <w:t xml:space="preserve">种层次： </w:t>
      </w:r>
      <w:r>
        <w:rPr>
          <w:rFonts w:hint="eastAsia" w:ascii="宋体" w:hAnsi="宋体"/>
          <w:sz w:val="20"/>
          <w:szCs w:val="20"/>
          <w:highlight w:val="yellow"/>
        </w:rPr>
        <w:t>(“</w:t>
      </w:r>
      <w:r>
        <w:rPr>
          <w:rFonts w:hint="eastAsia" w:ascii="宋体" w:hAnsi="宋体"/>
          <w:b/>
          <w:bCs/>
          <w:sz w:val="20"/>
          <w:szCs w:val="20"/>
          <w:highlight w:val="yellow"/>
        </w:rPr>
        <w:t>知道”、“理解”、“运用”、“分析”、“综合”、“评价”)</w:t>
      </w:r>
      <w:r>
        <w:rPr>
          <w:rFonts w:hint="eastAsia" w:ascii="宋体" w:hAnsi="宋体"/>
          <w:bCs/>
          <w:sz w:val="20"/>
          <w:szCs w:val="20"/>
        </w:rPr>
        <w:t>来</w:t>
      </w:r>
      <w:r>
        <w:rPr>
          <w:rFonts w:ascii="宋体" w:hAnsi="宋体"/>
          <w:sz w:val="20"/>
          <w:szCs w:val="20"/>
        </w:rPr>
        <w:t>表</w:t>
      </w:r>
      <w:r>
        <w:rPr>
          <w:rFonts w:hint="eastAsia" w:ascii="宋体" w:hAnsi="宋体"/>
          <w:sz w:val="20"/>
          <w:szCs w:val="20"/>
        </w:rPr>
        <w:t>达对学生学习要求上的差异</w:t>
      </w:r>
      <w:r>
        <w:rPr>
          <w:rFonts w:ascii="宋体" w:hAnsi="宋体"/>
          <w:sz w:val="20"/>
          <w:szCs w:val="20"/>
        </w:rPr>
        <w:t>。</w:t>
      </w:r>
      <w:r>
        <w:rPr>
          <w:rFonts w:hint="eastAsia" w:ascii="宋体" w:hAnsi="宋体"/>
          <w:sz w:val="20"/>
          <w:szCs w:val="20"/>
        </w:rPr>
        <w:t>能力要求必须选用合适的行为动词来表达。用文字说明教学的难点所在。</w:t>
      </w:r>
    </w:p>
    <w:p>
      <w:pPr>
        <w:snapToGrid w:val="0"/>
        <w:spacing w:line="288" w:lineRule="auto"/>
        <w:ind w:firstLine="400" w:firstLineChars="200"/>
        <w:rPr>
          <w:rFonts w:ascii="宋体" w:hAnsi="宋体"/>
          <w:sz w:val="20"/>
          <w:szCs w:val="20"/>
        </w:rPr>
      </w:pPr>
    </w:p>
    <w:p>
      <w:pPr>
        <w:snapToGrid w:val="0"/>
        <w:spacing w:line="288" w:lineRule="auto"/>
        <w:ind w:firstLine="400" w:firstLineChars="200"/>
      </w:pPr>
      <w:r>
        <w:rPr>
          <w:rFonts w:hint="eastAsia"/>
          <w:sz w:val="20"/>
          <w:szCs w:val="20"/>
        </w:rPr>
        <w:t>这门选修课主要学习一些现当代文学著名的小说、诗歌、散文，一些著名作家的作品，如鲁迅《狂人日记》《伤逝》、曹禺《雷雨》《日出》、钱钟书《围城》、萧红《呼兰河传》《生死场》、张爱玲《金锁记》《半生缘》、沈从文《边城》、陈忠实《白鹿原》、路遥《平凡的世界》、贾平凹《秦腔》、莫言《红高粱》《生死疲劳》《蛙》《透明的红萝卜》、余华《活着》《兄弟》以及奥斯特洛夫斯基的《钢铁是怎样炼成的》、</w:t>
      </w:r>
      <w:r>
        <w:rPr>
          <w:sz w:val="20"/>
          <w:szCs w:val="20"/>
        </w:rPr>
        <w:t>卡勒德·胡赛尼</w:t>
      </w:r>
      <w:r>
        <w:rPr>
          <w:rFonts w:hint="eastAsia"/>
          <w:sz w:val="20"/>
          <w:szCs w:val="20"/>
        </w:rPr>
        <w:t>的《追风筝的人》、海明威的《老人与海》、村上春树的《挪威的森林》、斯蒂芬</w:t>
      </w:r>
      <w:r>
        <w:rPr>
          <w:sz w:val="20"/>
          <w:szCs w:val="20"/>
        </w:rPr>
        <w:t>·</w:t>
      </w:r>
      <w:r>
        <w:rPr>
          <w:rFonts w:hint="eastAsia"/>
          <w:sz w:val="20"/>
          <w:szCs w:val="20"/>
        </w:rPr>
        <w:t>金的《肖申克的救赎》、</w:t>
      </w:r>
      <w:r>
        <w:rPr>
          <w:sz w:val="20"/>
          <w:szCs w:val="20"/>
        </w:rPr>
        <w:t>笛福《鲁滨孙漂流记》</w:t>
      </w:r>
      <w:r>
        <w:rPr>
          <w:rFonts w:hint="eastAsia"/>
          <w:sz w:val="20"/>
          <w:szCs w:val="20"/>
        </w:rPr>
        <w:t>、</w:t>
      </w:r>
      <w:r>
        <w:rPr>
          <w:sz w:val="20"/>
          <w:szCs w:val="20"/>
        </w:rPr>
        <w:t>欧·亨利</w:t>
      </w:r>
      <w:r>
        <w:rPr>
          <w:rFonts w:hint="eastAsia"/>
          <w:sz w:val="20"/>
          <w:szCs w:val="20"/>
        </w:rPr>
        <w:t>的</w:t>
      </w:r>
      <w:r>
        <w:rPr>
          <w:sz w:val="20"/>
          <w:szCs w:val="20"/>
        </w:rPr>
        <w:t>《麦琪的礼物》</w:t>
      </w:r>
      <w:r>
        <w:rPr>
          <w:rFonts w:hint="eastAsia"/>
          <w:sz w:val="20"/>
          <w:szCs w:val="20"/>
        </w:rPr>
        <w:t>等，使学生不仅知道所学篇目的内容，更是要通过这些作品深深地理解其中所表现的社会、文化、哲理，现当代的文学作品更贴近我们今天的生活，蕴含的深刻道理更容易被学生接受。在理解的基础上，运用文学作品蕴含的文化与道理，指导自己的人生，真正发挥文学对读者的潜移默化的重大作用和不可低估的力量。</w:t>
      </w:r>
    </w:p>
    <w:p>
      <w:pPr>
        <w:snapToGrid w:val="0"/>
        <w:spacing w:line="288" w:lineRule="auto"/>
        <w:ind w:right="26"/>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六、课内实验名称及基本要求（选填，适用于课内实验）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7"/>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bl>
    <w:p>
      <w:pPr>
        <w:widowControl/>
        <w:spacing w:before="156" w:beforeLines="50" w:after="156" w:afterLines="50" w:line="288" w:lineRule="auto"/>
        <w:ind w:firstLine="480" w:firstLineChars="200"/>
        <w:jc w:val="left"/>
        <w:rPr>
          <w:rFonts w:ascii="黑体" w:hAnsi="宋体" w:eastAsia="黑体"/>
          <w:sz w:val="24"/>
        </w:rPr>
      </w:pPr>
      <w:r>
        <w:rPr>
          <w:rFonts w:hint="eastAsia" w:ascii="黑体" w:hAnsi="宋体" w:eastAsia="黑体"/>
          <w:sz w:val="24"/>
        </w:rPr>
        <w:t>六、实践环节各阶段名称及基本要求（选填，适用于集中实践、实习、毕业设计等）</w:t>
      </w:r>
    </w:p>
    <w:p>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7"/>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300" w:firstLineChars="150"/>
              <w:rPr>
                <w:rFonts w:ascii="宋体"/>
                <w:sz w:val="20"/>
                <w:szCs w:val="20"/>
              </w:rPr>
            </w:pPr>
            <w:r>
              <w:rPr>
                <w:rFonts w:hint="eastAsia" w:ascii="宋体" w:hAnsi="宋体"/>
                <w:sz w:val="20"/>
                <w:szCs w:val="20"/>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0" w:firstLineChars="450"/>
              <w:rPr>
                <w:rFonts w:ascii="宋体"/>
                <w:sz w:val="20"/>
                <w:szCs w:val="20"/>
              </w:rPr>
            </w:pPr>
            <w:r>
              <w:rPr>
                <w:rFonts w:hint="eastAsia" w:ascii="宋体" w:hAnsi="宋体"/>
                <w:sz w:val="20"/>
                <w:szCs w:val="20"/>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天数/周数</w:t>
            </w:r>
          </w:p>
        </w:tc>
        <w:tc>
          <w:tcPr>
            <w:tcW w:w="1125" w:type="dxa"/>
            <w:tcBorders>
              <w:top w:val="single" w:color="auto" w:sz="4" w:space="0"/>
              <w:left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bl>
    <w:p>
      <w:pPr>
        <w:snapToGrid w:val="0"/>
        <w:spacing w:line="288" w:lineRule="auto"/>
        <w:ind w:right="2520"/>
        <w:rPr>
          <w:sz w:val="20"/>
          <w:szCs w:val="20"/>
        </w:rPr>
      </w:pPr>
    </w:p>
    <w:tbl>
      <w:tblPr>
        <w:tblStyle w:val="7"/>
        <w:tblpPr w:leftFromText="180" w:rightFromText="180" w:vertAnchor="text" w:horzAnchor="page" w:tblpX="1598" w:tblpY="1008"/>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highlight w:val="yellow"/>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highlight w:val="yellow"/>
              </w:rPr>
              <w:t>X1</w:t>
            </w:r>
          </w:p>
        </w:tc>
        <w:tc>
          <w:tcPr>
            <w:tcW w:w="5103" w:type="dxa"/>
            <w:shd w:val="clear" w:color="auto" w:fill="auto"/>
          </w:tcPr>
          <w:p>
            <w:pPr>
              <w:snapToGrid w:val="0"/>
              <w:spacing w:before="156" w:beforeLines="50" w:after="156" w:afterLines="50"/>
              <w:jc w:val="center"/>
              <w:rPr>
                <w:rFonts w:ascii="宋体" w:hAnsi="宋体"/>
                <w:sz w:val="20"/>
                <w:szCs w:val="20"/>
              </w:rPr>
            </w:pPr>
            <w:r>
              <w:rPr>
                <w:rFonts w:hint="eastAsia" w:ascii="宋体" w:hAnsi="宋体"/>
                <w:sz w:val="20"/>
                <w:szCs w:val="20"/>
              </w:rPr>
              <w:t>模仿写作</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highlight w:val="yellow"/>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sz w:val="20"/>
                <w:szCs w:val="20"/>
              </w:rPr>
              <w:t>读后感</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highlight w:val="yellow"/>
              </w:rPr>
              <w:t>X3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sz w:val="20"/>
                <w:szCs w:val="20"/>
              </w:rPr>
              <w:t>小论文</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highlight w:val="yellow"/>
              </w:rPr>
              <w:t>X4</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sz w:val="20"/>
                <w:szCs w:val="20"/>
              </w:rPr>
              <w:t>期终开卷考</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40%</w:t>
            </w:r>
          </w:p>
        </w:tc>
      </w:tr>
    </w:tbl>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 xml:space="preserve">   七、评价方式与成绩</w:t>
      </w:r>
      <w:r>
        <w:rPr>
          <w:rFonts w:ascii="黑体" w:hAnsi="宋体" w:eastAsia="黑体"/>
          <w:sz w:val="24"/>
        </w:rPr>
        <w:t>（必填项）</w:t>
      </w:r>
    </w:p>
    <w:p>
      <w:pPr>
        <w:snapToGrid w:val="0"/>
        <w:spacing w:before="156" w:beforeLines="50" w:line="288" w:lineRule="auto"/>
        <w:ind w:firstLine="400" w:firstLineChars="200"/>
        <w:rPr>
          <w:rFonts w:ascii="宋体" w:hAnsi="宋体"/>
          <w:sz w:val="20"/>
          <w:szCs w:val="20"/>
        </w:rPr>
      </w:pPr>
      <w:r>
        <w:rPr>
          <w:rFonts w:hint="eastAsia" w:ascii="宋体" w:hAnsi="宋体"/>
          <w:sz w:val="20"/>
          <w:szCs w:val="20"/>
        </w:rPr>
        <w:t>“</w:t>
      </w:r>
      <w:r>
        <w:rPr>
          <w:rFonts w:ascii="宋体" w:hAnsi="宋体"/>
          <w:sz w:val="20"/>
          <w:szCs w:val="20"/>
        </w:rPr>
        <w:t>1</w:t>
      </w:r>
      <w:r>
        <w:rPr>
          <w:rFonts w:hint="eastAsia" w:ascii="宋体" w:hAnsi="宋体"/>
          <w:sz w:val="20"/>
          <w:szCs w:val="20"/>
        </w:rPr>
        <w:t>”一般为总结性评价, “</w:t>
      </w:r>
      <w:r>
        <w:rPr>
          <w:rFonts w:ascii="宋体" w:hAnsi="宋体"/>
          <w:sz w:val="20"/>
          <w:szCs w:val="20"/>
        </w:rPr>
        <w:t>X</w:t>
      </w:r>
      <w:r>
        <w:rPr>
          <w:rFonts w:hint="eastAsia" w:ascii="宋体" w:hAnsi="宋体"/>
          <w:sz w:val="20"/>
          <w:szCs w:val="20"/>
        </w:rPr>
        <w:t>”为过程性评价，“</w:t>
      </w:r>
      <w:r>
        <w:rPr>
          <w:rFonts w:ascii="宋体" w:hAnsi="宋体"/>
          <w:sz w:val="20"/>
          <w:szCs w:val="20"/>
        </w:rPr>
        <w:t>X</w:t>
      </w:r>
      <w:r>
        <w:rPr>
          <w:rFonts w:hint="eastAsia" w:ascii="宋体" w:hAnsi="宋体"/>
          <w:sz w:val="20"/>
          <w:szCs w:val="20"/>
        </w:rPr>
        <w:t>”的</w:t>
      </w:r>
      <w:r>
        <w:rPr>
          <w:rFonts w:hint="eastAsia"/>
          <w:color w:val="000000"/>
          <w:sz w:val="20"/>
          <w:szCs w:val="20"/>
        </w:rPr>
        <w:t>次数一般不少于3次，无论是</w:t>
      </w:r>
      <w:r>
        <w:rPr>
          <w:rFonts w:hint="eastAsia" w:ascii="宋体" w:hAnsi="宋体"/>
          <w:sz w:val="20"/>
          <w:szCs w:val="20"/>
        </w:rPr>
        <w:t>“</w:t>
      </w:r>
      <w:r>
        <w:rPr>
          <w:rFonts w:ascii="宋体" w:hAnsi="宋体"/>
          <w:sz w:val="20"/>
          <w:szCs w:val="20"/>
        </w:rPr>
        <w:t>1</w:t>
      </w:r>
      <w:r>
        <w:rPr>
          <w:rFonts w:hint="eastAsia" w:ascii="宋体" w:hAnsi="宋体"/>
          <w:sz w:val="20"/>
          <w:szCs w:val="20"/>
        </w:rPr>
        <w:t>”、还是“</w:t>
      </w:r>
      <w:r>
        <w:rPr>
          <w:rFonts w:ascii="宋体" w:hAnsi="宋体"/>
          <w:sz w:val="20"/>
          <w:szCs w:val="20"/>
        </w:rPr>
        <w:t>X</w:t>
      </w:r>
      <w:r>
        <w:rPr>
          <w:rFonts w:hint="eastAsia" w:ascii="宋体" w:hAnsi="宋体"/>
          <w:sz w:val="20"/>
          <w:szCs w:val="20"/>
        </w:rPr>
        <w:t>”，都可以是纸笔测试，也可以是表现性评价。与能力本位相适应的课程评价方式，较少采用纸笔测试，较多采用表现性评价。</w:t>
      </w:r>
    </w:p>
    <w:p>
      <w:pPr>
        <w:snapToGrid w:val="0"/>
        <w:spacing w:before="120" w:after="120" w:line="288" w:lineRule="auto"/>
        <w:ind w:firstLine="400" w:firstLineChars="200"/>
        <w:rPr>
          <w:b/>
          <w:color w:val="000000"/>
          <w:sz w:val="20"/>
          <w:szCs w:val="20"/>
        </w:rPr>
      </w:pPr>
      <w:r>
        <w:rPr>
          <w:rFonts w:hint="eastAsia"/>
          <w:color w:val="000000"/>
          <w:sz w:val="20"/>
          <w:szCs w:val="20"/>
        </w:rPr>
        <w:t>常用</w:t>
      </w:r>
      <w:r>
        <w:rPr>
          <w:color w:val="000000"/>
          <w:sz w:val="20"/>
          <w:szCs w:val="20"/>
        </w:rPr>
        <w:t>的</w:t>
      </w:r>
      <w:r>
        <w:rPr>
          <w:rFonts w:hint="eastAsia"/>
          <w:color w:val="000000"/>
          <w:sz w:val="20"/>
          <w:szCs w:val="20"/>
        </w:rPr>
        <w:t>评价</w:t>
      </w:r>
      <w:r>
        <w:rPr>
          <w:color w:val="000000"/>
          <w:sz w:val="20"/>
          <w:szCs w:val="20"/>
        </w:rPr>
        <w:t>方式</w:t>
      </w:r>
      <w:r>
        <w:rPr>
          <w:rFonts w:hint="eastAsia"/>
          <w:color w:val="000000"/>
          <w:sz w:val="20"/>
          <w:szCs w:val="20"/>
        </w:rPr>
        <w:t>有</w:t>
      </w:r>
      <w:r>
        <w:rPr>
          <w:color w:val="000000"/>
          <w:sz w:val="20"/>
          <w:szCs w:val="20"/>
        </w:rPr>
        <w:t>：</w:t>
      </w:r>
      <w:r>
        <w:rPr>
          <w:rFonts w:hint="eastAsia" w:ascii="宋体" w:hAnsi="宋体"/>
          <w:sz w:val="20"/>
          <w:szCs w:val="20"/>
        </w:rPr>
        <w:t>课堂展示、口头</w:t>
      </w:r>
      <w:r>
        <w:rPr>
          <w:rFonts w:ascii="宋体" w:hAnsi="宋体"/>
          <w:sz w:val="20"/>
          <w:szCs w:val="20"/>
        </w:rPr>
        <w:t>报告、</w:t>
      </w:r>
      <w:r>
        <w:rPr>
          <w:rFonts w:hint="eastAsia" w:ascii="宋体" w:hAnsi="宋体"/>
          <w:sz w:val="20"/>
          <w:szCs w:val="20"/>
        </w:rPr>
        <w:t>论文、日志、反思</w:t>
      </w:r>
      <w:r>
        <w:rPr>
          <w:rFonts w:ascii="宋体" w:hAnsi="宋体"/>
          <w:sz w:val="20"/>
          <w:szCs w:val="20"/>
        </w:rPr>
        <w:t>、</w:t>
      </w:r>
      <w:r>
        <w:rPr>
          <w:rFonts w:hint="eastAsia" w:ascii="宋体" w:hAnsi="宋体"/>
          <w:sz w:val="20"/>
          <w:szCs w:val="20"/>
        </w:rPr>
        <w:t>调查报告、个人项目报告、小组</w:t>
      </w:r>
      <w:r>
        <w:rPr>
          <w:rFonts w:ascii="宋体" w:hAnsi="宋体"/>
          <w:sz w:val="20"/>
          <w:szCs w:val="20"/>
        </w:rPr>
        <w:t>项目报告、</w:t>
      </w:r>
      <w:r>
        <w:rPr>
          <w:rFonts w:hint="eastAsia" w:ascii="宋体" w:hAnsi="宋体"/>
          <w:sz w:val="20"/>
          <w:szCs w:val="20"/>
        </w:rPr>
        <w:t>实验报告、读书报告、作品（选集</w:t>
      </w:r>
      <w:r>
        <w:rPr>
          <w:rFonts w:ascii="宋体" w:hAnsi="宋体"/>
          <w:sz w:val="20"/>
          <w:szCs w:val="20"/>
        </w:rPr>
        <w:t>）</w:t>
      </w:r>
      <w:r>
        <w:rPr>
          <w:rFonts w:hint="eastAsia" w:ascii="宋体" w:hAnsi="宋体"/>
          <w:sz w:val="20"/>
          <w:szCs w:val="20"/>
        </w:rPr>
        <w:t>、口试、课堂小测验、</w:t>
      </w:r>
      <w:r>
        <w:rPr>
          <w:rFonts w:ascii="宋体" w:hAnsi="宋体"/>
          <w:sz w:val="20"/>
          <w:szCs w:val="20"/>
        </w:rPr>
        <w:t>期终闭卷考、期终开卷考、</w:t>
      </w:r>
      <w:r>
        <w:rPr>
          <w:rFonts w:hint="eastAsia" w:ascii="宋体" w:hAnsi="宋体"/>
          <w:sz w:val="20"/>
          <w:szCs w:val="20"/>
        </w:rPr>
        <w:t>工作</w:t>
      </w:r>
      <w:r>
        <w:rPr>
          <w:rFonts w:ascii="宋体" w:hAnsi="宋体"/>
          <w:sz w:val="20"/>
          <w:szCs w:val="20"/>
        </w:rPr>
        <w:t>现场评估、</w:t>
      </w:r>
      <w:r>
        <w:rPr>
          <w:rFonts w:hint="eastAsia" w:ascii="宋体" w:hAnsi="宋体"/>
          <w:sz w:val="20"/>
          <w:szCs w:val="20"/>
        </w:rPr>
        <w:t>自我</w:t>
      </w:r>
      <w:r>
        <w:rPr>
          <w:rFonts w:ascii="宋体" w:hAnsi="宋体"/>
          <w:sz w:val="20"/>
          <w:szCs w:val="20"/>
        </w:rPr>
        <w:t>评估、</w:t>
      </w:r>
      <w:r>
        <w:rPr>
          <w:rFonts w:hint="eastAsia" w:ascii="宋体" w:hAnsi="宋体"/>
          <w:sz w:val="20"/>
          <w:szCs w:val="20"/>
        </w:rPr>
        <w:t>同辈</w:t>
      </w:r>
      <w:r>
        <w:rPr>
          <w:rFonts w:ascii="宋体" w:hAnsi="宋体"/>
          <w:sz w:val="20"/>
          <w:szCs w:val="20"/>
        </w:rPr>
        <w:t>评估</w:t>
      </w:r>
      <w:r>
        <w:rPr>
          <w:rFonts w:hint="eastAsia" w:ascii="宋体" w:hAnsi="宋体"/>
          <w:sz w:val="20"/>
          <w:szCs w:val="20"/>
        </w:rPr>
        <w:t>等等</w:t>
      </w:r>
      <w:r>
        <w:rPr>
          <w:rFonts w:ascii="宋体" w:hAnsi="宋体"/>
          <w:sz w:val="20"/>
          <w:szCs w:val="20"/>
        </w:rPr>
        <w:t>。</w:t>
      </w:r>
      <w:r>
        <w:rPr>
          <w:rFonts w:hint="eastAsia" w:ascii="宋体" w:hAnsi="宋体"/>
          <w:b/>
          <w:sz w:val="20"/>
          <w:szCs w:val="20"/>
          <w:highlight w:val="yellow"/>
        </w:rPr>
        <w:t>一般课外扩展阅读的检查评价应该成为“X”中的一部分。</w:t>
      </w:r>
    </w:p>
    <w:p>
      <w:pPr>
        <w:snapToGrid w:val="0"/>
        <w:spacing w:before="120" w:after="120" w:line="288" w:lineRule="auto"/>
        <w:ind w:firstLine="400" w:firstLineChars="200"/>
        <w:rPr>
          <w:rFonts w:ascii="宋体" w:hAnsi="宋体"/>
          <w:sz w:val="20"/>
          <w:szCs w:val="20"/>
          <w:highlight w:val="yellow"/>
        </w:rPr>
      </w:pPr>
      <w:r>
        <w:rPr>
          <w:rFonts w:hint="eastAsia" w:ascii="宋体" w:hAnsi="宋体"/>
          <w:sz w:val="20"/>
          <w:szCs w:val="20"/>
          <w:highlight w:val="yellow"/>
        </w:rPr>
        <w:t>同一门课程由多个教师共同授课的，由课程组共同讨论决定X的内容、次数及比例。</w:t>
      </w:r>
    </w:p>
    <w:p>
      <w:pPr>
        <w:snapToGrid w:val="0"/>
        <w:spacing w:before="120" w:after="120" w:line="288" w:lineRule="auto"/>
        <w:ind w:firstLine="400" w:firstLineChars="200"/>
        <w:rPr>
          <w:rFonts w:hint="eastAsia" w:ascii="宋体" w:hAnsi="宋体"/>
          <w:sz w:val="20"/>
          <w:szCs w:val="20"/>
          <w:highlight w:val="yellow"/>
        </w:rPr>
      </w:pPr>
    </w:p>
    <w:p>
      <w:pPr>
        <w:snapToGrid w:val="0"/>
        <w:spacing w:before="120" w:after="120" w:line="288" w:lineRule="auto"/>
        <w:ind w:firstLine="400" w:firstLineChars="200"/>
        <w:rPr>
          <w:rFonts w:ascii="宋体" w:hAnsi="宋体"/>
          <w:sz w:val="20"/>
          <w:szCs w:val="20"/>
          <w:highlight w:val="yellow"/>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rPr>
          <w:sz w:val="28"/>
          <w:szCs w:val="28"/>
        </w:rPr>
      </w:pPr>
      <w:r>
        <w:rPr>
          <w:rFonts w:hint="eastAsia"/>
          <w:sz w:val="28"/>
          <w:szCs w:val="28"/>
        </w:rPr>
        <w:t>撰写人：李欣田    系主任审核签名：     审核时间：2018年9月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7362F"/>
    <w:rsid w:val="0007518A"/>
    <w:rsid w:val="000A5658"/>
    <w:rsid w:val="00111F6F"/>
    <w:rsid w:val="00182A9B"/>
    <w:rsid w:val="001F4A01"/>
    <w:rsid w:val="00256B39"/>
    <w:rsid w:val="0026033C"/>
    <w:rsid w:val="002B59A1"/>
    <w:rsid w:val="002E3721"/>
    <w:rsid w:val="002F1A16"/>
    <w:rsid w:val="00313BBA"/>
    <w:rsid w:val="0032602E"/>
    <w:rsid w:val="003367AE"/>
    <w:rsid w:val="003C6681"/>
    <w:rsid w:val="004100B0"/>
    <w:rsid w:val="00447386"/>
    <w:rsid w:val="004544AA"/>
    <w:rsid w:val="00473CE4"/>
    <w:rsid w:val="005467DC"/>
    <w:rsid w:val="00553D03"/>
    <w:rsid w:val="005B2B6D"/>
    <w:rsid w:val="005B4B4E"/>
    <w:rsid w:val="00624FE1"/>
    <w:rsid w:val="00683F15"/>
    <w:rsid w:val="006D4A05"/>
    <w:rsid w:val="007208D6"/>
    <w:rsid w:val="00880490"/>
    <w:rsid w:val="008B397C"/>
    <w:rsid w:val="008B47F4"/>
    <w:rsid w:val="00900019"/>
    <w:rsid w:val="0091065D"/>
    <w:rsid w:val="00942B3B"/>
    <w:rsid w:val="00956D90"/>
    <w:rsid w:val="0099063E"/>
    <w:rsid w:val="00A87C09"/>
    <w:rsid w:val="00AC60EE"/>
    <w:rsid w:val="00B511A5"/>
    <w:rsid w:val="00B7651F"/>
    <w:rsid w:val="00C46915"/>
    <w:rsid w:val="00C56E09"/>
    <w:rsid w:val="00C721FD"/>
    <w:rsid w:val="00CE746B"/>
    <w:rsid w:val="00DA7C08"/>
    <w:rsid w:val="00E16D30"/>
    <w:rsid w:val="00E33169"/>
    <w:rsid w:val="00E70904"/>
    <w:rsid w:val="00EE1EFB"/>
    <w:rsid w:val="00EF44B1"/>
    <w:rsid w:val="00F35AA0"/>
    <w:rsid w:val="00FF2C61"/>
    <w:rsid w:val="024B0C39"/>
    <w:rsid w:val="06CD4C74"/>
    <w:rsid w:val="07910517"/>
    <w:rsid w:val="089608E6"/>
    <w:rsid w:val="1252010C"/>
    <w:rsid w:val="170C74B4"/>
    <w:rsid w:val="24192CCC"/>
    <w:rsid w:val="2B187AC4"/>
    <w:rsid w:val="3CD52CE1"/>
    <w:rsid w:val="3D3C55B6"/>
    <w:rsid w:val="41736F2E"/>
    <w:rsid w:val="4C653F3E"/>
    <w:rsid w:val="54875D3D"/>
    <w:rsid w:val="66BA4938"/>
    <w:rsid w:val="6EC86481"/>
    <w:rsid w:val="6F5042C2"/>
    <w:rsid w:val="773E764D"/>
    <w:rsid w:val="796D07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6"/>
    <w:link w:val="5"/>
    <w:semiHidden/>
    <w:qFormat/>
    <w:uiPriority w:val="99"/>
    <w:rPr>
      <w:sz w:val="18"/>
      <w:szCs w:val="18"/>
    </w:rPr>
  </w:style>
  <w:style w:type="character" w:customStyle="1" w:styleId="10">
    <w:name w:val="页脚 Char"/>
    <w:basedOn w:val="6"/>
    <w:link w:val="4"/>
    <w:semiHidden/>
    <w:qFormat/>
    <w:uiPriority w:val="99"/>
    <w:rPr>
      <w:sz w:val="18"/>
      <w:szCs w:val="18"/>
    </w:rPr>
  </w:style>
  <w:style w:type="character" w:customStyle="1" w:styleId="11">
    <w:name w:val="标题 1 Char"/>
    <w:basedOn w:val="6"/>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435</Words>
  <Characters>2481</Characters>
  <Lines>20</Lines>
  <Paragraphs>5</Paragraphs>
  <TotalTime>19</TotalTime>
  <ScaleCrop>false</ScaleCrop>
  <LinksUpToDate>false</LinksUpToDate>
  <CharactersWithSpaces>2911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lenovo</cp:lastModifiedBy>
  <dcterms:modified xsi:type="dcterms:W3CDTF">2018-09-18T09:05:24Z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