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方正小标宋简体" w:hAnsi="宋体"/>
          <w:bCs/>
          <w:kern w:val="0"/>
          <w:szCs w:val="21"/>
        </w:rPr>
      </w:pPr>
      <w:r>
        <w:pict>
          <v:shape id="文本框 1" o:spid="_x0000_s1026" o:spt="202" type="#_x0000_t202" style="position:absolute;left:0pt;margin-left:92pt;margin-top:79.4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hint="eastAsia" w:ascii="宋体" w:hAnsi="宋体" w:eastAsia="宋体"/>
                      <w:spacing w:val="20"/>
                      <w:sz w:val="24"/>
                      <w:szCs w:val="24"/>
                    </w:rPr>
                  </w:pPr>
                  <w:r>
                    <w:rPr>
                      <w:rFonts w:hint="eastAsia" w:ascii="宋体" w:hAnsi="宋体" w:eastAsia="宋体"/>
                      <w:spacing w:val="20"/>
                      <w:sz w:val="24"/>
                      <w:szCs w:val="24"/>
                    </w:rPr>
                    <w:t>SJQU-Q</w:t>
                  </w:r>
                  <w:r>
                    <w:rPr>
                      <w:rFonts w:hint="eastAsia" w:ascii="宋体" w:hAnsi="宋体" w:eastAsia="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-0</w:t>
                  </w:r>
                  <w:r>
                    <w:rPr>
                      <w:rFonts w:hint="eastAsia" w:ascii="宋体" w:hAnsi="宋体" w:eastAsia="宋体"/>
                      <w:spacing w:val="20"/>
                      <w:sz w:val="24"/>
                      <w:szCs w:val="24"/>
                      <w:lang w:val="en-US" w:eastAsia="zh-CN"/>
                    </w:rPr>
                    <w:t>33</w:t>
                  </w:r>
                  <w:r>
                    <w:rPr>
                      <w:rFonts w:hint="eastAsia" w:ascii="宋体" w:hAnsi="宋体" w:eastAsia="宋体"/>
                      <w:spacing w:val="20"/>
                      <w:sz w:val="24"/>
                      <w:szCs w:val="24"/>
                    </w:rPr>
                    <w:t>（A0）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rFonts w:hint="eastAsia"/>
          <w:b/>
          <w:sz w:val="28"/>
          <w:szCs w:val="30"/>
        </w:rPr>
      </w:pPr>
    </w:p>
    <w:p>
      <w:pPr>
        <w:spacing w:line="288" w:lineRule="auto"/>
        <w:jc w:val="center"/>
        <w:rPr>
          <w:b/>
          <w:sz w:val="28"/>
          <w:szCs w:val="30"/>
        </w:rPr>
      </w:pPr>
      <w:r>
        <w:rPr>
          <w:rFonts w:hint="eastAsia"/>
          <w:b/>
          <w:sz w:val="28"/>
          <w:szCs w:val="30"/>
        </w:rPr>
        <w:t>【</w:t>
      </w:r>
      <w:r>
        <w:rPr>
          <w:rFonts w:hint="eastAsia"/>
          <w:b/>
          <w:sz w:val="28"/>
          <w:szCs w:val="30"/>
          <w:lang w:eastAsia="zh-CN"/>
        </w:rPr>
        <w:t>哲学导论</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sz w:val="24"/>
          <w:szCs w:val="24"/>
        </w:rPr>
        <w:t>AN Introduction TO Philosophy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2030225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新闻学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lang w:eastAsia="zh-CN"/>
        </w:rPr>
        <w:t>新闻传播学院</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w:t>
      </w:r>
      <w:r>
        <w:rPr>
          <w:rFonts w:hint="eastAsia" w:ascii="宋体" w:hAnsi="宋体" w:eastAsia="宋体"/>
          <w:kern w:val="0"/>
          <w:sz w:val="21"/>
          <w:szCs w:val="21"/>
          <w:lang w:eastAsia="zh-CN"/>
        </w:rPr>
        <w:t>《哲学导论》（修订</w:t>
      </w:r>
      <w:r>
        <w:rPr>
          <w:rFonts w:hint="eastAsia" w:ascii="宋体" w:hAnsi="宋体"/>
          <w:kern w:val="0"/>
          <w:sz w:val="21"/>
          <w:szCs w:val="21"/>
          <w:lang w:eastAsia="zh-CN"/>
        </w:rPr>
        <w:t>本</w:t>
      </w:r>
      <w:r>
        <w:rPr>
          <w:rFonts w:hint="eastAsia" w:ascii="宋体" w:hAnsi="宋体" w:eastAsia="宋体"/>
          <w:kern w:val="0"/>
          <w:sz w:val="21"/>
          <w:szCs w:val="21"/>
          <w:lang w:eastAsia="zh-CN"/>
        </w:rPr>
        <w:t>），沈湘平，中国社会科学出版社，201</w:t>
      </w:r>
      <w:r>
        <w:rPr>
          <w:rFonts w:hint="eastAsia" w:ascii="宋体" w:hAnsi="宋体" w:eastAsia="宋体"/>
          <w:kern w:val="0"/>
          <w:sz w:val="21"/>
          <w:szCs w:val="21"/>
          <w:lang w:val="en-US" w:eastAsia="zh-CN"/>
        </w:rPr>
        <w:t>7</w:t>
      </w:r>
      <w:r>
        <w:rPr>
          <w:rFonts w:hint="eastAsia" w:ascii="宋体" w:hAnsi="宋体" w:eastAsia="宋体"/>
          <w:kern w:val="0"/>
          <w:sz w:val="21"/>
          <w:szCs w:val="21"/>
          <w:lang w:eastAsia="zh-CN"/>
        </w:rPr>
        <w:t>年</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月第</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版。</w:t>
      </w:r>
      <w:r>
        <w:rPr>
          <w:color w:val="000000"/>
          <w:sz w:val="20"/>
          <w:szCs w:val="20"/>
        </w:rPr>
        <w:t>】</w:t>
      </w:r>
    </w:p>
    <w:p>
      <w:pPr>
        <w:ind w:firstLine="402" w:firstLineChars="200"/>
        <w:rPr>
          <w:rFonts w:hint="eastAsia"/>
          <w:b/>
          <w:bCs/>
          <w:color w:val="000000"/>
          <w:sz w:val="20"/>
          <w:szCs w:val="20"/>
          <w:lang w:val="en-US" w:eastAsia="zh-CN"/>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rFonts w:hint="eastAsia"/>
          <w:b/>
          <w:bCs/>
          <w:color w:val="000000"/>
          <w:sz w:val="20"/>
          <w:szCs w:val="20"/>
          <w:lang w:val="en-US" w:eastAsia="zh-CN"/>
        </w:rPr>
        <w:t xml:space="preserve"> </w:t>
      </w:r>
    </w:p>
    <w:p>
      <w:pPr>
        <w:ind w:firstLine="420" w:firstLineChars="200"/>
        <w:rPr>
          <w:kern w:val="0"/>
        </w:rPr>
      </w:pPr>
      <w:r>
        <w:rPr>
          <w:rFonts w:hint="eastAsia"/>
          <w:kern w:val="0"/>
          <w:lang w:val="en-US" w:eastAsia="zh-CN"/>
        </w:rPr>
        <w:t>1</w:t>
      </w:r>
      <w:r>
        <w:rPr>
          <w:rFonts w:hint="eastAsia"/>
          <w:b/>
          <w:bCs/>
          <w:color w:val="000000"/>
          <w:sz w:val="20"/>
          <w:szCs w:val="20"/>
          <w:lang w:val="en-US" w:eastAsia="zh-CN"/>
        </w:rPr>
        <w:t>.</w:t>
      </w:r>
      <w:r>
        <w:rPr>
          <w:rFonts w:hint="eastAsia"/>
          <w:kern w:val="0"/>
        </w:rPr>
        <w:t>《哲学导论》，王德峰，</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2014年6月第1版。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2.</w:t>
      </w:r>
      <w:r>
        <w:rPr>
          <w:rFonts w:hint="eastAsia"/>
          <w:kern w:val="0"/>
        </w:rPr>
        <w:t>《哲学导论》，</w:t>
      </w:r>
      <w:r>
        <w:rPr>
          <w:rFonts w:hint="eastAsia"/>
          <w:kern w:val="0"/>
          <w:lang w:eastAsia="zh-CN"/>
        </w:rPr>
        <w:t>潘德荣</w:t>
      </w:r>
      <w:r>
        <w:rPr>
          <w:rFonts w:hint="eastAsia"/>
          <w:kern w:val="0"/>
        </w:rPr>
        <w:t>，</w:t>
      </w:r>
      <w:r>
        <w:rPr>
          <w:rFonts w:hint="eastAsia"/>
          <w:kern w:val="0"/>
          <w:lang w:eastAsia="zh-CN"/>
        </w:rPr>
        <w:t>华东师范大学</w:t>
      </w:r>
      <w:r>
        <w:rPr>
          <w:rFonts w:hint="eastAsia"/>
          <w:kern w:val="0"/>
        </w:rPr>
        <w:t>出版社</w:t>
      </w:r>
      <w:r>
        <w:rPr>
          <w:rFonts w:hint="eastAsia"/>
          <w:kern w:val="0"/>
          <w:lang w:eastAsia="zh-CN"/>
        </w:rPr>
        <w:t>，</w:t>
      </w:r>
      <w:r>
        <w:rPr>
          <w:rFonts w:hint="eastAsia"/>
          <w:kern w:val="0"/>
          <w:lang w:val="en-US" w:eastAsia="zh-CN"/>
        </w:rPr>
        <w:t>2016年6月第1版。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3.</w:t>
      </w:r>
      <w:r>
        <w:rPr>
          <w:rFonts w:hint="eastAsia"/>
          <w:kern w:val="0"/>
        </w:rPr>
        <w:t>《哲学导论》</w:t>
      </w:r>
      <w:r>
        <w:rPr>
          <w:rFonts w:hint="eastAsia"/>
          <w:kern w:val="0"/>
          <w:lang w:eastAsia="zh-CN"/>
        </w:rPr>
        <w:t>（第三版），</w:t>
      </w:r>
      <w:r>
        <w:rPr>
          <w:rFonts w:hint="eastAsia"/>
          <w:kern w:val="0"/>
        </w:rPr>
        <w:t>张世英</w:t>
      </w:r>
      <w:r>
        <w:rPr>
          <w:rFonts w:hint="eastAsia"/>
          <w:kern w:val="0"/>
          <w:lang w:eastAsia="zh-CN"/>
        </w:rPr>
        <w:t>著</w:t>
      </w:r>
      <w:r>
        <w:rPr>
          <w:rFonts w:hint="eastAsia"/>
          <w:kern w:val="0"/>
        </w:rPr>
        <w:t>，北京大学出版社</w:t>
      </w:r>
      <w:r>
        <w:rPr>
          <w:rFonts w:hint="eastAsia"/>
          <w:kern w:val="0"/>
          <w:lang w:eastAsia="zh-CN"/>
        </w:rPr>
        <w:t>，</w:t>
      </w:r>
      <w:r>
        <w:rPr>
          <w:rFonts w:hint="eastAsia"/>
          <w:kern w:val="0"/>
          <w:lang w:val="en-US" w:eastAsia="zh-CN"/>
        </w:rPr>
        <w:t>2016年5月。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4.</w:t>
      </w:r>
      <w:r>
        <w:rPr>
          <w:rFonts w:hint="eastAsia"/>
          <w:kern w:val="0"/>
        </w:rPr>
        <w:t>《哲学</w:t>
      </w:r>
      <w:r>
        <w:rPr>
          <w:rFonts w:hint="eastAsia"/>
          <w:kern w:val="0"/>
          <w:lang w:eastAsia="zh-CN"/>
        </w:rPr>
        <w:t>通</w:t>
      </w:r>
      <w:r>
        <w:rPr>
          <w:rFonts w:hint="eastAsia"/>
          <w:kern w:val="0"/>
        </w:rPr>
        <w:t>论》，</w:t>
      </w:r>
      <w:r>
        <w:rPr>
          <w:rFonts w:hint="eastAsia"/>
          <w:kern w:val="0"/>
          <w:lang w:eastAsia="zh-CN"/>
        </w:rPr>
        <w:t>孙正聿</w:t>
      </w:r>
      <w:r>
        <w:rPr>
          <w:rFonts w:hint="eastAsia"/>
          <w:kern w:val="0"/>
        </w:rPr>
        <w:t>，</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2006年8月第1版。</w:t>
      </w:r>
    </w:p>
    <w:p>
      <w:pPr>
        <w:snapToGrid w:val="0"/>
        <w:spacing w:line="288" w:lineRule="auto"/>
        <w:ind w:firstLine="394" w:firstLineChars="196"/>
        <w:rPr>
          <w:rFonts w:hint="eastAsia"/>
          <w:color w:val="000000"/>
          <w:sz w:val="20"/>
          <w:szCs w:val="20"/>
          <w:lang w:eastAsia="zh-CN"/>
        </w:rPr>
      </w:pPr>
      <w:r>
        <w:rPr>
          <w:rFonts w:hint="eastAsia"/>
          <w:b/>
          <w:bCs/>
          <w:color w:val="000000"/>
          <w:sz w:val="20"/>
          <w:szCs w:val="20"/>
        </w:rPr>
        <w:t>课程网站网址：</w:t>
      </w:r>
    </w:p>
    <w:p>
      <w:pPr>
        <w:snapToGrid w:val="0"/>
        <w:spacing w:line="288" w:lineRule="auto"/>
        <w:ind w:firstLine="392" w:firstLineChars="196"/>
        <w:rPr>
          <w:rFonts w:hint="eastAsia"/>
          <w:color w:val="000000"/>
          <w:sz w:val="20"/>
          <w:szCs w:val="20"/>
          <w:lang w:eastAsia="zh-CN"/>
        </w:rPr>
      </w:pPr>
      <w:r>
        <w:rPr>
          <w:rFonts w:hint="eastAsia"/>
          <w:color w:val="000000"/>
          <w:sz w:val="20"/>
          <w:szCs w:val="20"/>
          <w:lang w:eastAsia="zh-CN"/>
        </w:rPr>
        <w:t>https://elearning.gench.edu.cn:8443/webapps/blackboard/content/listContentEditable.jsp?content_id=_90481_1&amp;course_id=_14343_1&amp;mode=reset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中外文学导读</w:t>
      </w:r>
      <w:r>
        <w:rPr>
          <w:rFonts w:hint="eastAsia"/>
          <w:color w:val="000000"/>
          <w:sz w:val="20"/>
          <w:szCs w:val="20"/>
          <w:lang w:val="en-US" w:eastAsia="zh-CN"/>
        </w:rPr>
        <w:t xml:space="preserve"> 2030416（2）</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rFonts w:ascii="黑体" w:hAnsi="宋体" w:eastAsia="黑体"/>
          <w:sz w:val="2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CN"/>
        </w:rPr>
      </w:pPr>
      <w:r>
        <w:rPr>
          <w:rFonts w:hint="eastAsia"/>
        </w:rPr>
        <w:t>该课程以马克思主义</w:t>
      </w:r>
      <w:r>
        <w:rPr>
          <w:rFonts w:hint="eastAsia"/>
          <w:lang w:eastAsia="zh-CN"/>
        </w:rPr>
        <w:t>哲学</w:t>
      </w:r>
      <w:r>
        <w:rPr>
          <w:rFonts w:hint="eastAsia"/>
        </w:rPr>
        <w:t>为指导</w:t>
      </w:r>
      <w:r>
        <w:rPr>
          <w:rFonts w:hint="eastAsia"/>
          <w:lang w:eastAsia="zh-CN"/>
        </w:rPr>
        <w:t>，从问题出发，紧密结合工作、学习和生活的实际案例，初步介绍哲学导论学习的目的、意义和方法，哲学的内涵和本质、东西方哲学史略、哲学的基本问题（本体论、认识论、历史观、价值观和人生观）、派别和学科领域，使学生能够从哲学的思维方式和特点的学习中学会自主思考和进行一些批判性的思维认识活动，以便能够更好地指导自己的专业学习、生活，并为将来进入社会和工作岗位打下良好的思维认识基础。具体主要从十个单元展开。第一单元：绪论：哲学导论的功用和学习要求。第二单元：哲学的起源（哲学从哪里来？）；哲学的定义和本质（哲学是什么？）。第三单元：哲学的表达方式、方法和独特品质；哲学的文化价值和意义。第四单元：东西方哲学传统和史略。第五单元：哲学的基本问题、派别和学科领域。第六单元：世界观和本体论。第七单元：知识论和认识论。第八单元：历史观和历史哲学。第九单元：价值观和哲学价值论。第十单元：人性论与人的哲学。本课程总学时为</w:t>
      </w:r>
      <w:r>
        <w:rPr>
          <w:rFonts w:hint="eastAsia"/>
          <w:lang w:val="en-US" w:eastAsia="zh-CN"/>
        </w:rPr>
        <w:t>32学时，其中理论课</w:t>
      </w:r>
      <w:r>
        <w:rPr>
          <w:rFonts w:hint="eastAsia"/>
          <w:lang w:eastAsia="zh-CN"/>
        </w:rPr>
        <w:t>学时为</w:t>
      </w:r>
      <w:r>
        <w:rPr>
          <w:rFonts w:hint="eastAsia"/>
          <w:lang w:val="en-US" w:eastAsia="zh-CN"/>
        </w:rPr>
        <w:t>32，实验实践课学时为0。</w:t>
      </w:r>
    </w:p>
    <w:p>
      <w:pPr>
        <w:widowControl/>
        <w:spacing w:beforeLines="50" w:afterLines="50" w:line="288" w:lineRule="auto"/>
        <w:ind w:firstLine="480" w:firstLineChars="2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rPr>
      </w:pPr>
      <w:r>
        <w:rPr>
          <w:rFonts w:hint="eastAsia"/>
          <w:color w:val="000000"/>
          <w:sz w:val="20"/>
          <w:szCs w:val="20"/>
        </w:rPr>
        <w:t>建议在大学一年级第一学期或第二学期开课，新闻传播学院</w:t>
      </w:r>
      <w:r>
        <w:rPr>
          <w:rFonts w:hint="eastAsia"/>
          <w:color w:val="000000"/>
          <w:sz w:val="20"/>
          <w:szCs w:val="20"/>
          <w:lang w:eastAsia="zh-CN"/>
        </w:rPr>
        <w:t>所有</w:t>
      </w:r>
      <w:r>
        <w:rPr>
          <w:rFonts w:hint="eastAsia"/>
          <w:color w:val="000000"/>
          <w:sz w:val="20"/>
          <w:szCs w:val="20"/>
        </w:rPr>
        <w:t>专业本科生必修</w:t>
      </w:r>
      <w:r>
        <w:rPr>
          <w:color w:val="000000"/>
          <w:sz w:val="20"/>
          <w:szCs w:val="20"/>
        </w:rPr>
        <w:t>。</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212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有质疑精神，能有逻辑的分析与批判。</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050" w:firstLineChars="500"/>
              <w:jc w:val="left"/>
              <w:rPr>
                <w:rFonts w:hint="eastAsia" w:ascii="宋体" w:hAnsi="宋体" w:cs="宋体"/>
                <w:color w:val="000000"/>
                <w:kern w:val="0"/>
                <w:sz w:val="20"/>
                <w:szCs w:val="20"/>
                <w:lang w:val="en-US" w:eastAsia="zh-CN"/>
              </w:rPr>
            </w:pPr>
            <w:r>
              <w:rPr>
                <w:rFonts w:hint="eastAsia"/>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0"/>
        <w:gridCol w:w="2562"/>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jc w:val="both"/>
              <w:rPr>
                <w:b/>
              </w:rPr>
            </w:pPr>
            <w:r>
              <w:rPr>
                <w:rFonts w:hint="eastAsia"/>
                <w:b/>
              </w:rPr>
              <w:t>序号</w:t>
            </w:r>
          </w:p>
        </w:tc>
        <w:tc>
          <w:tcPr>
            <w:tcW w:w="1230" w:type="dxa"/>
            <w:shd w:val="clear" w:color="auto" w:fill="auto"/>
            <w:vAlign w:val="center"/>
          </w:tcPr>
          <w:p>
            <w:pPr>
              <w:jc w:val="center"/>
              <w:rPr>
                <w:b/>
              </w:rPr>
            </w:pPr>
            <w:r>
              <w:rPr>
                <w:rFonts w:hint="eastAsia"/>
                <w:b/>
              </w:rPr>
              <w:t>课程预期</w:t>
            </w:r>
          </w:p>
          <w:p>
            <w:pPr>
              <w:jc w:val="center"/>
              <w:rPr>
                <w:b/>
              </w:rPr>
            </w:pPr>
            <w:r>
              <w:rPr>
                <w:rFonts w:hint="eastAsia"/>
                <w:b/>
              </w:rPr>
              <w:t>学习成果</w:t>
            </w:r>
          </w:p>
        </w:tc>
        <w:tc>
          <w:tcPr>
            <w:tcW w:w="2562" w:type="dxa"/>
            <w:shd w:val="clear" w:color="auto" w:fill="auto"/>
            <w:vAlign w:val="center"/>
          </w:tcPr>
          <w:p>
            <w:pPr>
              <w:ind w:firstLine="402"/>
              <w:jc w:val="both"/>
              <w:rPr>
                <w:rFonts w:hint="eastAsia"/>
                <w:b/>
              </w:rPr>
            </w:pPr>
          </w:p>
          <w:p>
            <w:pPr>
              <w:ind w:firstLine="613" w:firstLineChars="291"/>
              <w:jc w:val="both"/>
              <w:rPr>
                <w:b/>
                <w:highlight w:val="yellow"/>
              </w:rPr>
            </w:pPr>
            <w:r>
              <w:rPr>
                <w:rFonts w:hint="eastAsia"/>
                <w:b/>
              </w:rPr>
              <w:t>课程目标</w:t>
            </w:r>
          </w:p>
          <w:p>
            <w:pPr>
              <w:jc w:val="both"/>
              <w:rPr>
                <w:b/>
              </w:rPr>
            </w:pPr>
          </w:p>
        </w:tc>
        <w:tc>
          <w:tcPr>
            <w:tcW w:w="2268" w:type="dxa"/>
            <w:shd w:val="clear" w:color="auto" w:fill="auto"/>
            <w:vAlign w:val="center"/>
          </w:tcPr>
          <w:p>
            <w:pPr>
              <w:ind w:firstLine="613" w:firstLineChars="291"/>
              <w:jc w:val="both"/>
              <w:rPr>
                <w:b/>
              </w:rPr>
            </w:pPr>
            <w:r>
              <w:rPr>
                <w:rFonts w:hint="eastAsia"/>
                <w:b/>
              </w:rPr>
              <w:t>教与学方式</w:t>
            </w:r>
          </w:p>
        </w:tc>
        <w:tc>
          <w:tcPr>
            <w:tcW w:w="1842" w:type="dxa"/>
            <w:shd w:val="clear" w:color="auto" w:fill="auto"/>
            <w:vAlign w:val="center"/>
          </w:tcPr>
          <w:p>
            <w:pPr>
              <w:ind w:firstLine="402"/>
              <w:jc w:val="both"/>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1</w:t>
            </w:r>
          </w:p>
        </w:tc>
        <w:tc>
          <w:tcPr>
            <w:tcW w:w="1230" w:type="dxa"/>
            <w:shd w:val="clear" w:color="auto" w:fill="auto"/>
            <w:vAlign w:val="center"/>
          </w:tcPr>
          <w:p>
            <w:pPr>
              <w:ind w:firstLine="210" w:firstLineChars="100"/>
              <w:jc w:val="both"/>
            </w:pPr>
            <w:r>
              <w:rPr>
                <w:rFonts w:hint="eastAsia"/>
              </w:rPr>
              <w:t>LO21</w:t>
            </w:r>
            <w:r>
              <w:rPr>
                <w:rFonts w:hint="eastAsia"/>
                <w:lang w:val="en-US" w:eastAsia="zh-CN"/>
              </w:rPr>
              <w:t>2</w:t>
            </w:r>
          </w:p>
        </w:tc>
        <w:tc>
          <w:tcPr>
            <w:tcW w:w="2562" w:type="dxa"/>
            <w:shd w:val="clear" w:color="auto" w:fill="auto"/>
            <w:vAlign w:val="center"/>
          </w:tcPr>
          <w:p>
            <w:pPr>
              <w:jc w:val="both"/>
              <w:rPr>
                <w:rFonts w:hint="eastAsia"/>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2268" w:type="dxa"/>
            <w:shd w:val="clear" w:color="auto" w:fill="auto"/>
            <w:vAlign w:val="center"/>
          </w:tcPr>
          <w:p>
            <w:pPr>
              <w:ind w:firstLine="0" w:firstLineChars="0"/>
              <w:jc w:val="center"/>
              <w:rPr>
                <w:rFonts w:hint="eastAsia" w:ascii="黑体" w:hAnsi="宋体" w:eastAsia="黑体"/>
                <w:sz w:val="24"/>
                <w:lang w:eastAsia="zh-CN"/>
              </w:rPr>
            </w:pPr>
            <w:r>
              <w:rPr>
                <w:rFonts w:hint="eastAsia" w:ascii="黑体" w:hAnsi="宋体" w:eastAsia="黑体"/>
                <w:sz w:val="21"/>
                <w:szCs w:val="21"/>
                <w:lang w:eastAsia="zh-CN"/>
              </w:rPr>
              <w:t>案例分析</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center"/>
              <w:rPr>
                <w:rFonts w:hint="eastAsia" w:ascii="黑体" w:hAnsi="宋体" w:eastAsia="黑体"/>
                <w:sz w:val="21"/>
                <w:szCs w:val="21"/>
                <w:lang w:eastAsia="zh-CN"/>
              </w:rPr>
            </w:pPr>
            <w:r>
              <w:rPr>
                <w:rFonts w:hint="eastAsia"/>
                <w:sz w:val="18"/>
                <w:szCs w:val="18"/>
                <w:lang w:eastAsia="zh-CN"/>
              </w:rPr>
              <w:t>（个人学习计划）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2</w:t>
            </w:r>
          </w:p>
        </w:tc>
        <w:tc>
          <w:tcPr>
            <w:tcW w:w="1230" w:type="dxa"/>
            <w:shd w:val="clear" w:color="auto" w:fill="auto"/>
            <w:vAlign w:val="center"/>
          </w:tcPr>
          <w:p>
            <w:pPr>
              <w:ind w:firstLine="210" w:firstLineChars="100"/>
              <w:jc w:val="both"/>
            </w:pPr>
            <w:r>
              <w:rPr>
                <w:rFonts w:hint="eastAsia"/>
              </w:rPr>
              <w:t>LO512</w:t>
            </w:r>
          </w:p>
        </w:tc>
        <w:tc>
          <w:tcPr>
            <w:tcW w:w="2562" w:type="dxa"/>
            <w:shd w:val="clear" w:color="auto" w:fill="auto"/>
            <w:vAlign w:val="center"/>
          </w:tcPr>
          <w:p>
            <w:pPr>
              <w:jc w:val="both"/>
              <w:rPr>
                <w:rFonts w:ascii="黑体" w:eastAsia="黑体"/>
                <w:sz w:val="24"/>
              </w:rPr>
            </w:pPr>
            <w:r>
              <w:rPr>
                <w:rFonts w:hint="eastAsia"/>
              </w:rPr>
              <w:t>有质疑精神，能有逻辑的分析与批判。</w:t>
            </w:r>
          </w:p>
        </w:tc>
        <w:tc>
          <w:tcPr>
            <w:tcW w:w="2268" w:type="dxa"/>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课堂小测验</w:t>
            </w:r>
          </w:p>
          <w:p>
            <w:pPr>
              <w:ind w:firstLine="0" w:firstLineChars="0"/>
              <w:jc w:val="both"/>
              <w:rPr>
                <w:rFonts w:hint="eastAsia"/>
                <w:lang w:eastAsia="zh-CN"/>
              </w:rPr>
            </w:pPr>
            <w:r>
              <w:rPr>
                <w:rFonts w:hint="eastAsia"/>
                <w:sz w:val="18"/>
                <w:szCs w:val="18"/>
                <w:lang w:eastAsia="zh-CN"/>
              </w:rPr>
              <w:t>能从哲学角度对一些观点或现象进行质疑并有条理进行分析和批判。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rPr>
              <w:t>3</w:t>
            </w:r>
          </w:p>
        </w:tc>
        <w:tc>
          <w:tcPr>
            <w:tcW w:w="1230" w:type="dxa"/>
            <w:shd w:val="clear" w:color="auto" w:fill="auto"/>
            <w:vAlign w:val="center"/>
          </w:tcPr>
          <w:p>
            <w:pPr>
              <w:ind w:firstLine="210" w:firstLineChars="100"/>
              <w:jc w:val="both"/>
              <w:rPr>
                <w:rFonts w:ascii="仿宋" w:hAnsi="仿宋" w:eastAsia="仿宋" w:cs="宋体"/>
                <w:kern w:val="0"/>
                <w:sz w:val="24"/>
              </w:rPr>
            </w:pPr>
            <w:r>
              <w:rPr>
                <w:rFonts w:hint="eastAsia"/>
              </w:rPr>
              <w:t>LO611</w:t>
            </w:r>
          </w:p>
        </w:tc>
        <w:tc>
          <w:tcPr>
            <w:tcW w:w="2562" w:type="dxa"/>
            <w:shd w:val="clear" w:color="auto" w:fill="auto"/>
            <w:vAlign w:val="center"/>
          </w:tcPr>
          <w:p>
            <w:pPr>
              <w:jc w:val="both"/>
              <w:rPr>
                <w:rFonts w:ascii="仿宋" w:hAnsi="仿宋" w:eastAsia="仿宋" w:cs="宋体"/>
                <w:kern w:val="0"/>
                <w:sz w:val="24"/>
              </w:rPr>
            </w:pPr>
            <w:r>
              <w:rPr>
                <w:rFonts w:hint="eastAsia"/>
              </w:rPr>
              <w:t>能够根据需要进行专业文献检索。</w:t>
            </w:r>
          </w:p>
        </w:tc>
        <w:tc>
          <w:tcPr>
            <w:tcW w:w="2268" w:type="dxa"/>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eastAsia="zh-CN"/>
              </w:rPr>
              <w:t>老师指导、学生通过各种方式检索哲学现象、问题研究的相关资料。</w:t>
            </w:r>
          </w:p>
        </w:tc>
        <w:tc>
          <w:tcPr>
            <w:tcW w:w="1842"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w:t>
            </w:r>
          </w:p>
          <w:p>
            <w:pPr>
              <w:ind w:firstLine="0" w:firstLineChars="0"/>
              <w:jc w:val="both"/>
              <w:rPr>
                <w:rFonts w:hint="eastAsia" w:asciiTheme="minorEastAsia" w:hAnsiTheme="minorEastAsia" w:eastAsiaTheme="minorEastAsia"/>
                <w:lang w:eastAsia="zh-CN"/>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rPr>
              <w:t>4</w:t>
            </w:r>
          </w:p>
        </w:tc>
        <w:tc>
          <w:tcPr>
            <w:tcW w:w="1230" w:type="dxa"/>
            <w:shd w:val="clear" w:color="auto" w:fill="auto"/>
            <w:vAlign w:val="center"/>
          </w:tcPr>
          <w:p>
            <w:pPr>
              <w:jc w:val="center"/>
              <w:rPr>
                <w:rFonts w:hint="eastAsia"/>
              </w:rPr>
            </w:pPr>
          </w:p>
          <w:p>
            <w:pPr>
              <w:jc w:val="center"/>
              <w:rPr>
                <w:rFonts w:hint="eastAsia"/>
              </w:rPr>
            </w:pPr>
          </w:p>
          <w:p>
            <w:pPr>
              <w:ind w:firstLine="210" w:firstLineChars="100"/>
              <w:jc w:val="both"/>
            </w:pPr>
            <w:r>
              <w:rPr>
                <w:rFonts w:hint="eastAsia"/>
              </w:rPr>
              <w:t>LO711</w:t>
            </w:r>
          </w:p>
          <w:p>
            <w:pPr>
              <w:ind w:firstLine="480"/>
              <w:jc w:val="center"/>
              <w:rPr>
                <w:rFonts w:ascii="仿宋" w:hAnsi="仿宋" w:eastAsia="仿宋" w:cs="宋体"/>
                <w:kern w:val="0"/>
                <w:sz w:val="24"/>
              </w:rPr>
            </w:pPr>
          </w:p>
        </w:tc>
        <w:tc>
          <w:tcPr>
            <w:tcW w:w="2562" w:type="dxa"/>
            <w:shd w:val="clear" w:color="auto" w:fill="auto"/>
            <w:vAlign w:val="center"/>
          </w:tcPr>
          <w:p>
            <w:pPr>
              <w:jc w:val="both"/>
              <w:rPr>
                <w:rFonts w:ascii="仿宋" w:hAnsi="仿宋" w:eastAsia="仿宋" w:cs="宋体"/>
                <w:kern w:val="0"/>
                <w:sz w:val="24"/>
              </w:rPr>
            </w:pPr>
            <w:r>
              <w:rPr>
                <w:rFonts w:hint="eastAsia"/>
              </w:rPr>
              <w:t>爱党爱国：了解祖国的优秀传统文化和革命历史，构建爱党爱国的理想信念。</w:t>
            </w:r>
          </w:p>
        </w:tc>
        <w:tc>
          <w:tcPr>
            <w:tcW w:w="2268" w:type="dxa"/>
            <w:shd w:val="clear" w:color="auto" w:fill="auto"/>
            <w:vAlign w:val="center"/>
          </w:tcPr>
          <w:p>
            <w:pPr>
              <w:ind w:firstLine="0" w:firstLineChars="0"/>
              <w:jc w:val="both"/>
              <w:rPr>
                <w:rFonts w:hint="eastAsia" w:ascii="黑体" w:hAnsi="宋体" w:eastAsia="黑体"/>
                <w:sz w:val="21"/>
                <w:szCs w:val="21"/>
                <w:lang w:eastAsia="zh-CN"/>
              </w:rPr>
            </w:pP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p>
            <w:pPr>
              <w:ind w:firstLine="0" w:firstLineChars="0"/>
              <w:jc w:val="both"/>
              <w:rPr>
                <w:rFonts w:hint="eastAsia" w:ascii="黑体" w:hAnsi="宋体" w:eastAsia="黑体"/>
                <w:sz w:val="21"/>
                <w:szCs w:val="21"/>
                <w:lang w:eastAsia="zh-CN"/>
              </w:rPr>
            </w:pP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w:t>
            </w:r>
          </w:p>
          <w:p>
            <w:pPr>
              <w:jc w:val="both"/>
              <w:rPr>
                <w:rFonts w:hint="eastAsia" w:asciiTheme="minorEastAsia" w:hAnsiTheme="minorEastAsia" w:eastAsiaTheme="minorEastAsia"/>
                <w:lang w:eastAsia="zh-CN"/>
              </w:rPr>
            </w:pPr>
            <w:r>
              <w:rPr>
                <w:rFonts w:hint="eastAsia"/>
                <w:sz w:val="18"/>
                <w:szCs w:val="18"/>
                <w:lang w:eastAsia="zh-CN"/>
              </w:rPr>
              <w:t>阅读一本中国哲学著作或哲学家传记，做读书摘录笔记，并写一篇读书心得报告。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5</w:t>
            </w:r>
          </w:p>
        </w:tc>
        <w:tc>
          <w:tcPr>
            <w:tcW w:w="1230" w:type="dxa"/>
            <w:shd w:val="clear" w:color="auto" w:fill="auto"/>
            <w:vAlign w:val="center"/>
          </w:tcPr>
          <w:p>
            <w:pPr>
              <w:jc w:val="center"/>
              <w:rPr>
                <w:rFonts w:hint="eastAsia"/>
              </w:rPr>
            </w:pPr>
          </w:p>
          <w:p>
            <w:pPr>
              <w:ind w:firstLine="210" w:firstLineChars="100"/>
              <w:jc w:val="both"/>
              <w:rPr>
                <w:lang w:val="en-US"/>
              </w:rPr>
            </w:pPr>
            <w:r>
              <w:rPr>
                <w:rFonts w:hint="eastAsia"/>
              </w:rPr>
              <w:t>L081</w:t>
            </w:r>
            <w:r>
              <w:rPr>
                <w:rFonts w:hint="eastAsia"/>
                <w:lang w:val="en-US" w:eastAsia="zh-CN"/>
              </w:rPr>
              <w:t>3</w:t>
            </w:r>
          </w:p>
          <w:p>
            <w:pPr>
              <w:jc w:val="center"/>
            </w:pPr>
          </w:p>
        </w:tc>
        <w:tc>
          <w:tcPr>
            <w:tcW w:w="2562" w:type="dxa"/>
            <w:shd w:val="clear" w:color="auto" w:fill="auto"/>
            <w:vAlign w:val="center"/>
          </w:tcPr>
          <w:p>
            <w:pPr>
              <w:jc w:val="both"/>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2268" w:type="dxa"/>
            <w:shd w:val="clear" w:color="auto" w:fill="auto"/>
            <w:vAlign w:val="center"/>
          </w:tcPr>
          <w:p>
            <w:pPr>
              <w:ind w:firstLine="630" w:firstLineChars="300"/>
              <w:jc w:val="both"/>
              <w:rPr>
                <w:rFonts w:hint="eastAsia" w:ascii="黑体" w:hAnsi="宋体" w:eastAsia="黑体"/>
                <w:sz w:val="21"/>
                <w:szCs w:val="21"/>
                <w:lang w:eastAsia="zh-CN"/>
              </w:rPr>
            </w:pPr>
            <w:r>
              <w:rPr>
                <w:rFonts w:hint="eastAsia" w:ascii="黑体" w:hAnsi="宋体" w:eastAsia="黑体"/>
                <w:sz w:val="21"/>
                <w:szCs w:val="21"/>
                <w:lang w:eastAsia="zh-CN"/>
              </w:rPr>
              <w:t>案例分析</w:t>
            </w:r>
          </w:p>
          <w:p>
            <w:pPr>
              <w:jc w:val="both"/>
              <w:rPr>
                <w:rFonts w:hint="eastAsia" w:ascii="黑体" w:hAnsi="宋体" w:eastAsia="黑体"/>
                <w:sz w:val="21"/>
                <w:szCs w:val="21"/>
                <w:lang w:eastAsia="zh-CN"/>
              </w:rPr>
            </w:pPr>
            <w:r>
              <w:rPr>
                <w:rFonts w:hint="eastAsia" w:asciiTheme="minorEastAsia" w:hAnsiTheme="minorEastAsia" w:eastAsiaTheme="minorEastAsia" w:cstheme="minorEastAsia"/>
                <w:color w:val="000000"/>
                <w:kern w:val="0"/>
                <w:sz w:val="18"/>
                <w:szCs w:val="18"/>
                <w:lang w:val="en-US" w:eastAsia="zh-CN"/>
              </w:rPr>
              <w:t>（中西哲学观念的比较）</w:t>
            </w:r>
          </w:p>
        </w:tc>
        <w:tc>
          <w:tcPr>
            <w:tcW w:w="1842" w:type="dxa"/>
            <w:shd w:val="clear" w:color="auto" w:fill="auto"/>
            <w:vAlign w:val="center"/>
          </w:tcPr>
          <w:p>
            <w:pPr>
              <w:ind w:firstLine="420" w:firstLineChars="200"/>
              <w:jc w:val="both"/>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both"/>
              <w:rPr>
                <w:rFonts w:hint="eastAsia" w:ascii="黑体" w:hAnsi="宋体" w:eastAsia="黑体"/>
                <w:sz w:val="21"/>
                <w:szCs w:val="21"/>
                <w:lang w:eastAsia="zh-CN"/>
              </w:rPr>
            </w:pPr>
            <w:r>
              <w:rPr>
                <w:rFonts w:hint="eastAsia"/>
                <w:sz w:val="18"/>
                <w:szCs w:val="18"/>
                <w:lang w:eastAsia="zh-CN"/>
              </w:rPr>
              <w:t>（列举事例进行口头分析）</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88" w:lineRule="auto"/>
        <w:ind w:left="0" w:leftChars="0" w:right="0" w:rightChars="0" w:firstLine="480" w:firstLineChars="200"/>
        <w:jc w:val="left"/>
        <w:textAlignment w:val="auto"/>
        <w:rPr>
          <w:rFonts w:hint="eastAsia" w:ascii="黑体" w:hAnsi="黑体" w:eastAsia="黑体" w:cs="黑体"/>
          <w:b w:val="0"/>
          <w:bCs/>
          <w:sz w:val="24"/>
          <w:szCs w:val="24"/>
          <w:lang w:eastAsia="zh-CN"/>
        </w:rPr>
      </w:pPr>
      <w:r>
        <w:rPr>
          <w:rFonts w:hint="eastAsia" w:ascii="黑体" w:hAnsi="宋体" w:eastAsia="黑体"/>
          <w:sz w:val="24"/>
        </w:rPr>
        <w:t>六、</w:t>
      </w:r>
      <w:r>
        <w:rPr>
          <w:rFonts w:ascii="黑体" w:hAnsi="宋体" w:eastAsia="黑体"/>
          <w:sz w:val="24"/>
        </w:rPr>
        <w:t>课程内容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黑体" w:hAnsi="黑体" w:eastAsia="黑体" w:cs="黑体"/>
          <w:b w:val="0"/>
          <w:bCs/>
          <w:sz w:val="28"/>
          <w:szCs w:val="28"/>
        </w:rPr>
      </w:pPr>
      <w:r>
        <w:rPr>
          <w:rFonts w:hint="eastAsia" w:ascii="黑体" w:hAnsi="黑体" w:eastAsia="黑体" w:cs="黑体"/>
          <w:b w:val="0"/>
          <w:bCs/>
          <w:sz w:val="24"/>
          <w:szCs w:val="24"/>
          <w:lang w:eastAsia="zh-CN"/>
        </w:rPr>
        <w:t>第一单元</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lang w:eastAsia="zh-CN"/>
        </w:rPr>
        <w:t>绪论：哲学导论的功用和学习要求（</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了解对哲学产生的种种误解及其原因。理解哲学导论课程的广告和指南作用以及进一步的目的；理解本课程学习与专业发展之间的内在关联。本课程的学习要求：课程进度安排、考核要求、课堂纪律要求。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重点和难点：哲学导论课程的广告和指南作用。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rPr>
        <w:t>第二</w:t>
      </w:r>
      <w:r>
        <w:rPr>
          <w:rFonts w:hint="eastAsia" w:ascii="黑体" w:hAnsi="黑体" w:eastAsia="黑体" w:cs="黑体"/>
          <w:b w:val="0"/>
          <w:bCs/>
          <w:sz w:val="24"/>
          <w:szCs w:val="24"/>
          <w:lang w:eastAsia="zh-CN"/>
        </w:rPr>
        <w:t>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哲学的起源、定义和本质（</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哲学把握世界的独特方式：不同于神话、宗教、常识、艺术、科学等把握世界的方式；从哲学发展史角度，深入和辩证地理解哲学起源学说的基本观点（哲学起源于惊讶）。掌握哲学的定义和本质：定义是对智慧的追求，本质是智慧之学问和实践。了解知识与智慧的区别和联系；理解哲学追求大智慧，并需要以激情为持续的保障；理解智慧的生存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shd w:val="clear" w:color="auto" w:fill="FFFFFF"/>
          <w:lang w:eastAsia="zh-CN"/>
        </w:rPr>
        <w:t>重点：哲学的定义和本质；难点：哲学的智慧特色。</w:t>
      </w:r>
      <w:r>
        <w:rPr>
          <w:rFonts w:hint="eastAsia"/>
        </w:rPr>
        <w:br w:type="textWrapping"/>
      </w:r>
      <w:r>
        <w:rPr>
          <w:rFonts w:hint="eastAsia"/>
        </w:rPr>
        <w:t> </w:t>
      </w:r>
      <w:r>
        <w:rPr>
          <w:rFonts w:hint="eastAsia"/>
          <w:lang w:val="en-US" w:eastAsia="zh-CN"/>
        </w:rPr>
        <w:t xml:space="preserve">    </w:t>
      </w: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三单元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val="en-US" w:eastAsia="zh-CN"/>
        </w:rPr>
        <w:t>哲学的表达方式、方法和独特品质、文化价值和意义</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rPr>
        <w:t>通过本单元学习</w:t>
      </w:r>
      <w:r>
        <w:rPr>
          <w:rFonts w:hint="eastAsia"/>
          <w:lang w:eastAsia="zh-CN"/>
        </w:rPr>
        <w:t>：</w:t>
      </w:r>
      <w:r>
        <w:rPr>
          <w:rFonts w:hint="eastAsia"/>
        </w:rPr>
        <w:t>了解</w:t>
      </w:r>
      <w:r>
        <w:rPr>
          <w:rFonts w:hint="eastAsia"/>
          <w:shd w:val="clear" w:color="auto" w:fill="FFFFFF"/>
          <w:lang w:eastAsia="zh-CN"/>
        </w:rPr>
        <w:t>哲学以思想的方式把握世界，是思维领域的奥林匹克运动</w:t>
      </w:r>
      <w:r>
        <w:rPr>
          <w:rFonts w:hint="eastAsia"/>
          <w:shd w:val="clear" w:color="auto" w:fill="FFFFFF"/>
        </w:rPr>
        <w:t>。</w:t>
      </w:r>
      <w:r>
        <w:rPr>
          <w:rFonts w:hint="eastAsia"/>
          <w:shd w:val="clear" w:color="auto" w:fill="FFFFFF"/>
          <w:lang w:eastAsia="zh-CN"/>
        </w:rPr>
        <w:t>理解并掌握思维的一般方法：概念、判断和推理。掌握推理的基本方法：归纳与演绎、分析与综合。理解哲学思维的四种独特品质：怀疑、反思、批判和超越。了解哲学的文化地位和价值，即时代精神的精华和文明活的灵魂；了解哲学的民族性和世界性；理解和掌握“哲学就是哲学史”的重要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重点：哲学的</w:t>
      </w:r>
      <w:r>
        <w:rPr>
          <w:rFonts w:hint="eastAsia"/>
          <w:shd w:val="clear" w:color="auto" w:fill="FFFFFF"/>
          <w:lang w:val="en-US" w:eastAsia="zh-CN"/>
        </w:rPr>
        <w:t>表达方式、方法和独特品质；</w:t>
      </w:r>
      <w:r>
        <w:rPr>
          <w:rFonts w:hint="eastAsia"/>
          <w:shd w:val="clear" w:color="auto" w:fill="FFFFFF"/>
          <w:lang w:eastAsia="zh-CN"/>
        </w:rPr>
        <w:t>难点：哲学的</w:t>
      </w:r>
      <w:r>
        <w:rPr>
          <w:rFonts w:hint="eastAsia"/>
          <w:shd w:val="clear" w:color="auto" w:fill="FFFFFF"/>
          <w:lang w:val="en-US" w:eastAsia="zh-CN"/>
        </w:rPr>
        <w:t>独特品质</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lang w:eastAsia="zh-CN"/>
        </w:rPr>
        <w:t>第四单元 东西方哲学传统和史略（</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五大文明及其三大哲学传统（西方哲学传统、中国哲学传统和印度哲学传统）的概要，理解其传统的特点；简略了解三大哲学传统的历史，理解东西方哲学的相互影响及其主要表现（西方哲学、印度哲学与中国哲学的相互影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五大文明及其三大哲学传统的特点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东西方哲学的相互影响及其主要表现</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第五单元 哲学的基本问题、派别和学科领域（</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哲学的基本问题（人与世界的关系问题）的主要内容，辩证地理解恩格斯关于基本问题的观点；了解哲学的六种主要派别及理解并掌握其观点（唯物主义与唯心主义，辩证法与形而上学，可知论和不可知论，经验论和唯理论，科学主义和人文主义，现代哲学与后现代哲学）。了解哲学的学科领域的主要分类（八个二级分类学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哲学的基本问题的六种主要派别及理解并掌握其观点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辩证地理解恩格斯关于基本问题的观点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六单元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世界观和本体论（</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：了解本体论形成的历史，理解并掌握世界观的概念和本体论的概念及其两个重要特征（终极性和超验性）。了解本体论的历史变化和中西差异。了解本体论在现代哲学视野中发展趋向。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本体论的概念及其两个重要特征</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本体论的历史变化和中西差异</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七单元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知识论和认识论（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认识论的核心问题（关于真理的追求），并理解其两种主要观点（先验论和经验论）。了解中外哲学史上的六种真理观（符合论、启示论、融贯论、实用论、主观论、存在论），并理解其观点的内涵。了解检验真理的标准的六种观点。了解哲学认识论的现代走向及其特征（科学哲学、现象学、语言哲学、解释学、后现代主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中外哲学史上的六种真理观（符合论、启示论、融贯论、实用论、主观论、存在论），并理解其观点的内涵</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检验真理的标准的六种观点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第八单元：历史观和历史哲学（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历史的定义和历史哲学的定义及内涵以及历史哲学的形成过程；理解历史哲学兴盛的重要原因。了解并掌握历史哲学的发展阶段和流派（思辨的历史哲学、批判的历史哲学、分析的历史哲学、唯物史观）的内容和特点。了解当代历史哲学的新进展（三种重要趋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历史哲学的发展阶段和流派的内容和特点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历史的定义和历史哲学的定义及内涵以及历史哲学的形成过程</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第九单元：价值观和哲学价值论（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价值及价值观对哲学的重要意义；掌握哲学价值观的内涵和研究对象、多角度分类。了解并掌握价值论的主要领域（伦理学、政治哲学、美学、经济学等）及其话语体系的内容和特点，特别是价值论的美学视阈。了解价值论的前沿问题及其观点（价值中立、风险与代价、个人主义和集体主义、价值共识和文化批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价值论的主要领域（伦理学、政治哲学、美学、经济学等）及其话语体系的内容和特点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价值论的前沿问题及其观点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lang w:eastAsia="zh-CN"/>
        </w:rPr>
        <w:t>第十单元：人性论与人的哲学（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对人的自我理解的历史和当代意义。理解并掌握中外哲学史上关于人性论的主要观点（人性善论、人性恶论、人性无善无恶论、人性有善有恶论）及其代表人物。理解并掌握关于自我及其认同的观点及其内容；理解自我认同的意义。结合自身实际，理解并掌握关于人生意义及其追求的认识和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val="en-US" w:eastAsia="zh-CN"/>
        </w:rPr>
      </w:pPr>
      <w:r>
        <w:rPr>
          <w:rFonts w:hint="eastAsia"/>
          <w:shd w:val="clear" w:color="auto" w:fill="FFFFFF"/>
          <w:lang w:eastAsia="zh-CN"/>
        </w:rPr>
        <w:t>重点：</w:t>
      </w:r>
      <w:r>
        <w:rPr>
          <w:rFonts w:hint="eastAsia"/>
          <w:lang w:eastAsia="zh-CN"/>
        </w:rPr>
        <w:t>中外哲学史上关于人性论的主要观点（人性善论、人性恶论、人性无善无恶论、人性有善有恶论）</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理解自我认同的意义</w:t>
      </w:r>
      <w:r>
        <w:rPr>
          <w:rFonts w:hint="eastAsia"/>
          <w:shd w:val="clear" w:color="auto" w:fill="FFFFFF"/>
          <w:lang w:eastAsia="zh-CN"/>
        </w:rPr>
        <w:t>。</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5"/>
        <w:tblpPr w:leftFromText="180" w:rightFromText="180" w:vertAnchor="text" w:horzAnchor="page" w:tblpX="1829" w:tblpY="75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1</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黑体" w:hAnsi="宋体" w:eastAsia="黑体"/>
                <w:sz w:val="21"/>
                <w:szCs w:val="21"/>
                <w:lang w:eastAsia="zh-CN"/>
              </w:rPr>
              <w:t>期末开卷考试</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beforeLines="50" w:afterLines="50" w:line="360" w:lineRule="auto"/>
              <w:jc w:val="center"/>
              <w:rPr>
                <w:rFonts w:hint="eastAsia" w:ascii="黑体" w:hAnsi="宋体" w:eastAsia="黑体"/>
                <w:sz w:val="21"/>
                <w:szCs w:val="21"/>
                <w:lang w:eastAsia="zh-CN"/>
              </w:rPr>
            </w:pPr>
            <w:r>
              <w:rPr>
                <w:rFonts w:hint="eastAsia" w:ascii="黑体" w:hAnsi="宋体" w:eastAsia="黑体"/>
                <w:sz w:val="21"/>
                <w:szCs w:val="21"/>
                <w:lang w:eastAsia="zh-CN"/>
              </w:rPr>
              <w:t>课堂小测验（一次）</w:t>
            </w:r>
          </w:p>
          <w:p>
            <w:pPr>
              <w:snapToGrid w:val="0"/>
              <w:spacing w:beforeLines="50" w:afterLines="50" w:line="360" w:lineRule="auto"/>
              <w:jc w:val="both"/>
              <w:rPr>
                <w:rFonts w:ascii="宋体" w:hAnsi="宋体"/>
                <w:bCs/>
                <w:color w:val="000000"/>
                <w:szCs w:val="20"/>
              </w:rPr>
            </w:pPr>
            <w:r>
              <w:rPr>
                <w:rFonts w:hint="eastAsia"/>
                <w:sz w:val="18"/>
                <w:szCs w:val="18"/>
                <w:lang w:eastAsia="zh-CN"/>
              </w:rPr>
              <w:t>能从哲学角度对一些观点或现象进行质疑并有条理进行分析和批判。</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文献综述（一篇）</w:t>
            </w:r>
          </w:p>
          <w:p>
            <w:pPr>
              <w:snapToGrid w:val="0"/>
              <w:spacing w:beforeLines="50" w:afterLines="50" w:line="360" w:lineRule="auto"/>
              <w:jc w:val="both"/>
              <w:rPr>
                <w:rFonts w:ascii="宋体" w:hAnsi="宋体"/>
                <w:bCs/>
                <w:color w:val="000000"/>
                <w:szCs w:val="20"/>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读书报告（一篇）</w:t>
            </w:r>
          </w:p>
          <w:p>
            <w:pPr>
              <w:snapToGrid w:val="0"/>
              <w:spacing w:beforeLines="50" w:afterLines="50" w:line="360" w:lineRule="auto"/>
              <w:jc w:val="both"/>
              <w:rPr>
                <w:rFonts w:ascii="宋体" w:hAnsi="宋体"/>
                <w:bCs/>
                <w:color w:val="000000"/>
                <w:szCs w:val="20"/>
              </w:rPr>
            </w:pPr>
            <w:r>
              <w:rPr>
                <w:rFonts w:hint="eastAsia"/>
                <w:sz w:val="18"/>
                <w:szCs w:val="18"/>
                <w:lang w:eastAsia="zh-CN"/>
              </w:rPr>
              <w:t>阅读一本中国哲学著作或哲学家传记（比如王阳明、冯友兰、毛泽东等），做读书笔记，并写一篇读书心得报告。</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bl>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ascii="宋体" w:hAnsi="宋体"/>
          <w:sz w:val="20"/>
          <w:szCs w:val="20"/>
        </w:rPr>
        <w:t>常用的评价方式有：课堂展示、口头报告、论文、日志、反思、调查报告、个人项目报告、小组项目报告、实验报告、读书报告、作品（选集）、口试、课堂小测验、期终闭卷考、期终开卷考、工作现场评估、自我评估、同辈评估等等。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line="288" w:lineRule="auto"/>
        <w:rPr>
          <w:rFonts w:hint="eastAsia"/>
          <w:sz w:val="28"/>
          <w:szCs w:val="28"/>
        </w:rPr>
      </w:pPr>
    </w:p>
    <w:p>
      <w:pPr>
        <w:snapToGrid w:val="0"/>
        <w:spacing w:line="288" w:lineRule="auto"/>
      </w:pPr>
      <w:r>
        <w:rPr>
          <w:rFonts w:hint="eastAsia"/>
          <w:sz w:val="28"/>
          <w:szCs w:val="28"/>
        </w:rPr>
        <w:t>撰写人：</w:t>
      </w:r>
      <w:r>
        <w:rPr>
          <w:rFonts w:hint="eastAsia"/>
          <w:sz w:val="28"/>
          <w:szCs w:val="28"/>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马玉瑛</w:t>
      </w:r>
      <w:r>
        <w:rPr>
          <w:rFonts w:hint="eastAsia"/>
          <w:sz w:val="28"/>
          <w:szCs w:val="28"/>
          <w:lang w:val="en-US" w:eastAsia="zh-CN"/>
        </w:rPr>
        <w:t xml:space="preserve">   </w:t>
      </w:r>
      <w:bookmarkStart w:id="1" w:name="_GoBack"/>
      <w:bookmarkEnd w:id="1"/>
      <w:r>
        <w:rPr>
          <w:rFonts w:hint="eastAsia"/>
          <w:sz w:val="28"/>
          <w:szCs w:val="28"/>
        </w:rPr>
        <w:t>审核时间：</w:t>
      </w:r>
      <w:r>
        <w:rPr>
          <w:rFonts w:hint="eastAsia"/>
          <w:sz w:val="28"/>
          <w:szCs w:val="28"/>
          <w:lang w:val="en-US" w:eastAsia="zh-CN"/>
        </w:rPr>
        <w:t xml:space="preserve">2018.9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02AA"/>
    <w:multiLevelType w:val="singleLevel"/>
    <w:tmpl w:val="5A0002A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A132B"/>
    <w:rsid w:val="002E3721"/>
    <w:rsid w:val="00313BBA"/>
    <w:rsid w:val="0032602E"/>
    <w:rsid w:val="003367AE"/>
    <w:rsid w:val="00390863"/>
    <w:rsid w:val="003B1258"/>
    <w:rsid w:val="004100B0"/>
    <w:rsid w:val="005467DC"/>
    <w:rsid w:val="00553D03"/>
    <w:rsid w:val="005B2B6D"/>
    <w:rsid w:val="005B4B4E"/>
    <w:rsid w:val="00624FE1"/>
    <w:rsid w:val="00693C0A"/>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5F09FA"/>
    <w:rsid w:val="017D18E6"/>
    <w:rsid w:val="01F839A4"/>
    <w:rsid w:val="024B0C39"/>
    <w:rsid w:val="038F31E5"/>
    <w:rsid w:val="08C216C2"/>
    <w:rsid w:val="098D446B"/>
    <w:rsid w:val="0A4E5BF0"/>
    <w:rsid w:val="0A8128A6"/>
    <w:rsid w:val="0AA76FAF"/>
    <w:rsid w:val="0AC30E92"/>
    <w:rsid w:val="0BF32A1B"/>
    <w:rsid w:val="0DEB616B"/>
    <w:rsid w:val="0E0666D6"/>
    <w:rsid w:val="0E7B3735"/>
    <w:rsid w:val="10BD2C22"/>
    <w:rsid w:val="11343582"/>
    <w:rsid w:val="11501516"/>
    <w:rsid w:val="12015A40"/>
    <w:rsid w:val="146C59E2"/>
    <w:rsid w:val="158468D5"/>
    <w:rsid w:val="15A43F4A"/>
    <w:rsid w:val="165E6C96"/>
    <w:rsid w:val="16C359B9"/>
    <w:rsid w:val="16DF7A72"/>
    <w:rsid w:val="183D377B"/>
    <w:rsid w:val="18604966"/>
    <w:rsid w:val="18B87D39"/>
    <w:rsid w:val="196B1F49"/>
    <w:rsid w:val="1A553645"/>
    <w:rsid w:val="1CB559A1"/>
    <w:rsid w:val="1CD87679"/>
    <w:rsid w:val="1CFA5C85"/>
    <w:rsid w:val="1EC50A4F"/>
    <w:rsid w:val="206C6FB0"/>
    <w:rsid w:val="20E964F6"/>
    <w:rsid w:val="22987C80"/>
    <w:rsid w:val="24192CCC"/>
    <w:rsid w:val="244060A2"/>
    <w:rsid w:val="245655DA"/>
    <w:rsid w:val="26F85220"/>
    <w:rsid w:val="2741033B"/>
    <w:rsid w:val="27BB17AB"/>
    <w:rsid w:val="28F41446"/>
    <w:rsid w:val="292A5820"/>
    <w:rsid w:val="298E10E5"/>
    <w:rsid w:val="2ADB4EAB"/>
    <w:rsid w:val="2B2117FE"/>
    <w:rsid w:val="2BA82B6F"/>
    <w:rsid w:val="2BF617FE"/>
    <w:rsid w:val="2C465F05"/>
    <w:rsid w:val="2D781907"/>
    <w:rsid w:val="2DA779C2"/>
    <w:rsid w:val="2E567222"/>
    <w:rsid w:val="31FC7847"/>
    <w:rsid w:val="356D042C"/>
    <w:rsid w:val="36AF2A03"/>
    <w:rsid w:val="37E90CFA"/>
    <w:rsid w:val="394149E4"/>
    <w:rsid w:val="39A66CD4"/>
    <w:rsid w:val="3B343793"/>
    <w:rsid w:val="3BCC7674"/>
    <w:rsid w:val="3CD52CE1"/>
    <w:rsid w:val="3D2625D8"/>
    <w:rsid w:val="3DD61DC0"/>
    <w:rsid w:val="3E745377"/>
    <w:rsid w:val="3FBD17E9"/>
    <w:rsid w:val="408B2A8D"/>
    <w:rsid w:val="410F2E6A"/>
    <w:rsid w:val="43484495"/>
    <w:rsid w:val="4430136C"/>
    <w:rsid w:val="44C06630"/>
    <w:rsid w:val="45575AA9"/>
    <w:rsid w:val="495901AC"/>
    <w:rsid w:val="4AB0382B"/>
    <w:rsid w:val="4DAA7295"/>
    <w:rsid w:val="4F7E1CC9"/>
    <w:rsid w:val="4FCA042A"/>
    <w:rsid w:val="546E31C3"/>
    <w:rsid w:val="569868B5"/>
    <w:rsid w:val="57213A1A"/>
    <w:rsid w:val="579E3AB5"/>
    <w:rsid w:val="583C5909"/>
    <w:rsid w:val="5965717B"/>
    <w:rsid w:val="5A002745"/>
    <w:rsid w:val="5A5A6159"/>
    <w:rsid w:val="5B0B0A32"/>
    <w:rsid w:val="5C115826"/>
    <w:rsid w:val="5C257732"/>
    <w:rsid w:val="5C2E6E28"/>
    <w:rsid w:val="5D777C3E"/>
    <w:rsid w:val="5E922BF5"/>
    <w:rsid w:val="603F1713"/>
    <w:rsid w:val="610B7391"/>
    <w:rsid w:val="611F6817"/>
    <w:rsid w:val="639044A6"/>
    <w:rsid w:val="63952035"/>
    <w:rsid w:val="662C3CC9"/>
    <w:rsid w:val="66CA1754"/>
    <w:rsid w:val="686965E5"/>
    <w:rsid w:val="698441B9"/>
    <w:rsid w:val="69C309A4"/>
    <w:rsid w:val="6A4B13F1"/>
    <w:rsid w:val="6C417060"/>
    <w:rsid w:val="6C6D751E"/>
    <w:rsid w:val="6CDE32CD"/>
    <w:rsid w:val="6F1E65D4"/>
    <w:rsid w:val="6F266C86"/>
    <w:rsid w:val="6F36732D"/>
    <w:rsid w:val="6F5042C2"/>
    <w:rsid w:val="6F5E32EA"/>
    <w:rsid w:val="6F7B1ABC"/>
    <w:rsid w:val="703669F2"/>
    <w:rsid w:val="715032BA"/>
    <w:rsid w:val="73920B5C"/>
    <w:rsid w:val="74316312"/>
    <w:rsid w:val="744A7FF6"/>
    <w:rsid w:val="748503DA"/>
    <w:rsid w:val="76BB6D31"/>
    <w:rsid w:val="777E2501"/>
    <w:rsid w:val="77A1429A"/>
    <w:rsid w:val="780F13C8"/>
    <w:rsid w:val="79E64404"/>
    <w:rsid w:val="7ADC3AFA"/>
    <w:rsid w:val="7B037AAF"/>
    <w:rsid w:val="7B6B584E"/>
    <w:rsid w:val="7BDC469D"/>
    <w:rsid w:val="7BE87CAC"/>
    <w:rsid w:val="7C385448"/>
    <w:rsid w:val="7D3D480B"/>
    <w:rsid w:val="7E2235FC"/>
    <w:rsid w:val="7EE8312A"/>
    <w:rsid w:val="7F0B7E84"/>
    <w:rsid w:val="7F492137"/>
    <w:rsid w:val="7F9D4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3</TotalTime>
  <ScaleCrop>false</ScaleCrop>
  <LinksUpToDate>false</LinksUpToDate>
  <CharactersWithSpaces>1834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2018-08-31T14:01:44Z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