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spacing w:line="288" w:lineRule="auto"/>
        <w:jc w:val="center"/>
        <w:rPr>
          <w:rFonts w:hint="eastAsia" w:ascii="Calibri" w:hAnsi="Calibri" w:eastAsia="宋体"/>
          <w:b/>
          <w:sz w:val="28"/>
          <w:szCs w:val="30"/>
        </w:rPr>
      </w:pPr>
      <w:r>
        <w:rPr>
          <w:rFonts w:hint="eastAsia" w:ascii="Calibri" w:hAnsi="Calibri" w:eastAsia="宋体"/>
          <w:b/>
          <w:sz w:val="28"/>
          <w:szCs w:val="30"/>
        </w:rPr>
        <w:t>【</w:t>
      </w:r>
      <w:r>
        <w:rPr>
          <w:rFonts w:hint="eastAsia" w:ascii="Calibri" w:hAnsi="Calibri" w:eastAsia="宋体"/>
          <w:b/>
          <w:sz w:val="28"/>
          <w:szCs w:val="30"/>
          <w:lang w:eastAsia="zh-CN"/>
        </w:rPr>
        <w:t>生活中的经济学</w:t>
      </w:r>
      <w:r>
        <w:rPr>
          <w:rFonts w:hint="eastAsia" w:ascii="Calibri" w:hAnsi="Calibri" w:eastAsia="宋体"/>
          <w:b/>
          <w:sz w:val="28"/>
          <w:szCs w:val="30"/>
        </w:rPr>
        <w:t>】</w:t>
      </w:r>
    </w:p>
    <w:p>
      <w:pPr>
        <w:shd w:val="clear" w:color="auto" w:fill="F5F5F5"/>
        <w:jc w:val="center"/>
        <w:textAlignment w:val="top"/>
        <w:rPr>
          <w:rFonts w:ascii="Arial" w:hAnsi="Arial" w:eastAsia="宋体" w:cs="Arial"/>
          <w:color w:val="888888"/>
          <w:kern w:val="0"/>
          <w:sz w:val="20"/>
          <w:szCs w:val="20"/>
        </w:rPr>
      </w:pPr>
      <w:r>
        <w:rPr>
          <w:rFonts w:hint="eastAsia" w:ascii="Calibri" w:hAnsi="Calibri" w:eastAsia="宋体"/>
          <w:b/>
          <w:sz w:val="28"/>
          <w:szCs w:val="30"/>
        </w:rPr>
        <w:t>【Economics of life】</w:t>
      </w:r>
    </w:p>
    <w:p>
      <w:pPr>
        <w:spacing w:before="156" w:beforeLines="50" w:after="156" w:afterLines="50" w:line="288" w:lineRule="auto"/>
        <w:ind w:firstLine="360" w:firstLineChars="150"/>
        <w:rPr>
          <w:rFonts w:ascii="Calibri" w:hAnsi="Calibri" w:eastAsia="宋体"/>
          <w:b/>
          <w:color w:val="008080"/>
          <w:sz w:val="30"/>
          <w:szCs w:val="30"/>
        </w:rPr>
      </w:pPr>
      <w:r>
        <w:rPr>
          <w:rFonts w:hint="eastAsia" w:ascii="黑体" w:hAnsi="宋体" w:eastAsia="黑体"/>
          <w:sz w:val="24"/>
          <w:szCs w:val="22"/>
        </w:rPr>
        <w:t>一、基本信息（必填项）</w:t>
      </w:r>
    </w:p>
    <w:p>
      <w:pPr>
        <w:snapToGrid w:val="0"/>
        <w:spacing w:line="288" w:lineRule="auto"/>
        <w:ind w:firstLine="394" w:firstLineChars="196"/>
        <w:rPr>
          <w:rFonts w:ascii="Calibri" w:hAnsi="Calibri" w:eastAsia="宋体"/>
          <w:color w:val="000000"/>
          <w:sz w:val="20"/>
          <w:szCs w:val="20"/>
        </w:rPr>
      </w:pPr>
      <w:r>
        <w:rPr>
          <w:rFonts w:hint="eastAsia" w:ascii="Calibri" w:hAnsi="Calibri" w:eastAsia="宋体"/>
          <w:b/>
          <w:bCs/>
          <w:color w:val="000000"/>
          <w:sz w:val="20"/>
          <w:szCs w:val="20"/>
        </w:rPr>
        <w:t>课程代码：</w:t>
      </w:r>
      <w:r>
        <w:rPr>
          <w:rFonts w:hint="eastAsia" w:ascii="Calibri" w:hAnsi="Calibri" w:eastAsia="宋体"/>
          <w:color w:val="000000"/>
          <w:sz w:val="20"/>
          <w:szCs w:val="20"/>
        </w:rPr>
        <w:t>【</w:t>
      </w:r>
      <w:r>
        <w:rPr>
          <w:rFonts w:hint="eastAsia" w:ascii="Calibri" w:hAnsi="Calibri" w:eastAsia="宋体"/>
          <w:color w:val="000000"/>
          <w:sz w:val="20"/>
          <w:szCs w:val="20"/>
        </w:rPr>
        <w:fldChar w:fldCharType="begin"/>
      </w:r>
      <w:r>
        <w:rPr>
          <w:rFonts w:hint="eastAsia" w:ascii="Calibri" w:hAnsi="Calibri" w:eastAsia="宋体"/>
          <w:color w:val="000000"/>
          <w:sz w:val="20"/>
          <w:szCs w:val="20"/>
        </w:rPr>
        <w:instrText xml:space="preserve"> HYPERLINK "http://jwxt.gench.edu.cn/eams/syllabusTeacher.action" \t "http://jwxt.gench.edu.cn/eams/_blank" </w:instrText>
      </w:r>
      <w:r>
        <w:rPr>
          <w:rFonts w:hint="eastAsia" w:ascii="Calibri" w:hAnsi="Calibri" w:eastAsia="宋体"/>
          <w:color w:val="000000"/>
          <w:sz w:val="20"/>
          <w:szCs w:val="20"/>
        </w:rPr>
        <w:fldChar w:fldCharType="separate"/>
      </w:r>
      <w:r>
        <w:rPr>
          <w:rFonts w:hint="eastAsia" w:ascii="Calibri" w:hAnsi="Calibri" w:eastAsia="宋体"/>
          <w:color w:val="000000"/>
          <w:sz w:val="20"/>
          <w:szCs w:val="20"/>
        </w:rPr>
        <w:t>2038035</w:t>
      </w:r>
      <w:r>
        <w:rPr>
          <w:rFonts w:hint="eastAsia" w:ascii="Calibri" w:hAnsi="Calibri" w:eastAsia="宋体"/>
          <w:color w:val="000000"/>
          <w:sz w:val="20"/>
          <w:szCs w:val="20"/>
        </w:rPr>
        <w:fldChar w:fldCharType="end"/>
      </w:r>
      <w:r>
        <w:rPr>
          <w:rFonts w:hint="eastAsia" w:ascii="Calibri" w:hAnsi="Calibri" w:eastAsia="宋体"/>
          <w:color w:val="000000"/>
          <w:sz w:val="20"/>
          <w:szCs w:val="20"/>
        </w:rPr>
        <w:t>】</w:t>
      </w:r>
    </w:p>
    <w:p>
      <w:pPr>
        <w:snapToGrid w:val="0"/>
        <w:spacing w:line="288" w:lineRule="auto"/>
        <w:ind w:firstLine="394" w:firstLineChars="196"/>
        <w:rPr>
          <w:rFonts w:ascii="Calibri" w:hAnsi="Calibri" w:eastAsia="宋体"/>
          <w:color w:val="000000"/>
          <w:sz w:val="21"/>
          <w:szCs w:val="21"/>
        </w:rPr>
      </w:pPr>
      <w:r>
        <w:rPr>
          <w:rFonts w:hint="eastAsia" w:ascii="Calibri" w:hAnsi="Calibri" w:eastAsia="宋体"/>
          <w:b/>
          <w:bCs/>
          <w:color w:val="000000"/>
          <w:sz w:val="20"/>
          <w:szCs w:val="20"/>
        </w:rPr>
        <w:t>课程学分：</w:t>
      </w:r>
      <w:r>
        <w:rPr>
          <w:rFonts w:hint="eastAsia" w:ascii="Calibri" w:hAnsi="Calibri" w:eastAsia="宋体"/>
          <w:color w:val="000000"/>
          <w:sz w:val="20"/>
          <w:szCs w:val="20"/>
        </w:rPr>
        <w:t>【</w:t>
      </w:r>
      <w:r>
        <w:rPr>
          <w:rFonts w:hint="eastAsia" w:ascii="Calibri" w:hAnsi="Calibri" w:eastAsia="宋体"/>
          <w:color w:val="000000"/>
          <w:sz w:val="20"/>
          <w:szCs w:val="20"/>
          <w:lang w:val="en-US" w:eastAsia="zh-CN"/>
        </w:rPr>
        <w:t>2</w:t>
      </w:r>
      <w:r>
        <w:rPr>
          <w:rFonts w:hint="eastAsia" w:ascii="Calibri" w:hAnsi="Calibri" w:eastAsia="宋体"/>
          <w:color w:val="000000"/>
          <w:sz w:val="20"/>
          <w:szCs w:val="20"/>
        </w:rPr>
        <w:t>】</w:t>
      </w:r>
    </w:p>
    <w:p>
      <w:pPr>
        <w:snapToGrid w:val="0"/>
        <w:spacing w:line="288" w:lineRule="auto"/>
        <w:ind w:firstLine="394" w:firstLineChars="196"/>
        <w:rPr>
          <w:rFonts w:ascii="Calibri" w:hAnsi="Calibri" w:eastAsia="宋体"/>
          <w:color w:val="000000"/>
          <w:sz w:val="21"/>
          <w:szCs w:val="21"/>
        </w:rPr>
      </w:pPr>
      <w:r>
        <w:rPr>
          <w:rFonts w:hint="eastAsia" w:ascii="Calibri" w:hAnsi="Calibri" w:eastAsia="宋体"/>
          <w:b/>
          <w:bCs/>
          <w:color w:val="000000"/>
          <w:sz w:val="20"/>
          <w:szCs w:val="20"/>
        </w:rPr>
        <w:t>面向专业：</w:t>
      </w:r>
      <w:r>
        <w:rPr>
          <w:rFonts w:hint="eastAsia" w:ascii="Calibri" w:hAnsi="Calibri" w:eastAsia="宋体"/>
          <w:color w:val="000000"/>
          <w:sz w:val="20"/>
          <w:szCs w:val="20"/>
        </w:rPr>
        <w:t>【</w:t>
      </w:r>
      <w:r>
        <w:rPr>
          <w:rFonts w:hint="eastAsia" w:ascii="Calibri" w:hAnsi="Calibri" w:eastAsia="宋体"/>
          <w:color w:val="000000"/>
          <w:sz w:val="20"/>
          <w:szCs w:val="20"/>
          <w:lang w:eastAsia="zh-CN"/>
        </w:rPr>
        <w:t>本科各专业</w:t>
      </w:r>
      <w:r>
        <w:rPr>
          <w:rFonts w:hint="eastAsia" w:ascii="Calibri" w:hAnsi="Calibri" w:eastAsia="宋体"/>
          <w:color w:val="000000"/>
          <w:sz w:val="20"/>
          <w:szCs w:val="20"/>
        </w:rPr>
        <w:t>】</w:t>
      </w:r>
    </w:p>
    <w:p>
      <w:pPr>
        <w:snapToGrid w:val="0"/>
        <w:spacing w:line="288" w:lineRule="auto"/>
        <w:ind w:firstLine="394" w:firstLineChars="196"/>
        <w:rPr>
          <w:rFonts w:ascii="Calibri" w:hAnsi="Calibri" w:eastAsia="宋体"/>
          <w:color w:val="000000"/>
          <w:sz w:val="20"/>
          <w:szCs w:val="20"/>
        </w:rPr>
      </w:pPr>
      <w:r>
        <w:rPr>
          <w:rFonts w:hint="eastAsia" w:ascii="Calibri" w:hAnsi="Calibri" w:eastAsia="宋体"/>
          <w:b/>
          <w:bCs/>
          <w:color w:val="000000"/>
          <w:sz w:val="20"/>
          <w:szCs w:val="20"/>
        </w:rPr>
        <w:t>课程性质：</w:t>
      </w:r>
      <w:r>
        <w:rPr>
          <w:rFonts w:hint="eastAsia" w:ascii="Calibri" w:hAnsi="Calibri" w:eastAsia="宋体"/>
          <w:color w:val="000000"/>
          <w:sz w:val="20"/>
          <w:szCs w:val="20"/>
        </w:rPr>
        <w:t>【通识教育选修课】</w:t>
      </w:r>
    </w:p>
    <w:p>
      <w:pPr>
        <w:snapToGrid w:val="0"/>
        <w:spacing w:line="288" w:lineRule="auto"/>
        <w:ind w:firstLine="394" w:firstLineChars="196"/>
        <w:rPr>
          <w:rFonts w:ascii="Calibri" w:hAnsi="Calibri" w:eastAsia="宋体"/>
          <w:b/>
          <w:bCs/>
          <w:color w:val="000000"/>
          <w:sz w:val="21"/>
          <w:szCs w:val="21"/>
        </w:rPr>
      </w:pPr>
      <w:r>
        <w:rPr>
          <w:rFonts w:hint="eastAsia" w:ascii="Calibri" w:hAnsi="Calibri" w:eastAsia="宋体"/>
          <w:b/>
          <w:bCs/>
          <w:color w:val="000000"/>
          <w:sz w:val="20"/>
          <w:szCs w:val="20"/>
        </w:rPr>
        <w:t>开课院系：</w:t>
      </w:r>
      <w:r>
        <w:rPr>
          <w:rFonts w:hint="eastAsia" w:ascii="Calibri" w:hAnsi="Calibri" w:eastAsia="宋体"/>
          <w:b w:val="0"/>
          <w:bCs w:val="0"/>
          <w:color w:val="000000"/>
          <w:sz w:val="20"/>
          <w:szCs w:val="20"/>
          <w:lang w:eastAsia="zh-CN"/>
        </w:rPr>
        <w:t>新闻传播学院</w:t>
      </w:r>
    </w:p>
    <w:p>
      <w:pPr>
        <w:snapToGrid w:val="0"/>
        <w:spacing w:line="288" w:lineRule="auto"/>
        <w:ind w:firstLine="394" w:firstLineChars="196"/>
        <w:rPr>
          <w:rFonts w:hint="eastAsia" w:ascii="Calibri" w:hAnsi="Calibri" w:eastAsia="宋体"/>
          <w:color w:val="000000"/>
          <w:sz w:val="20"/>
          <w:szCs w:val="20"/>
        </w:rPr>
      </w:pPr>
      <w:r>
        <w:rPr>
          <w:rFonts w:hint="eastAsia" w:ascii="Calibri" w:hAnsi="Calibri" w:eastAsia="宋体"/>
          <w:b/>
          <w:bCs/>
          <w:color w:val="000000"/>
          <w:sz w:val="20"/>
          <w:szCs w:val="20"/>
        </w:rPr>
        <w:t>使用教材：</w:t>
      </w:r>
      <w:r>
        <w:rPr>
          <w:rFonts w:hint="eastAsia" w:ascii="Calibri" w:hAnsi="Calibri" w:eastAsia="宋体"/>
          <w:color w:val="000000"/>
          <w:sz w:val="20"/>
          <w:szCs w:val="20"/>
        </w:rPr>
        <w:t>《生活中的经济学》（第3版） 茅于轼 暨南大学出版社 2007年6月第三版</w:t>
      </w:r>
    </w:p>
    <w:p>
      <w:pPr>
        <w:snapToGrid w:val="0"/>
        <w:spacing w:line="288" w:lineRule="auto"/>
        <w:ind w:firstLine="392" w:firstLineChars="196"/>
        <w:rPr>
          <w:rFonts w:hint="eastAsia" w:ascii="Calibri" w:hAnsi="Calibri" w:eastAsia="宋体"/>
          <w:color w:val="000000"/>
          <w:sz w:val="20"/>
          <w:szCs w:val="20"/>
        </w:rPr>
      </w:pPr>
      <w:r>
        <w:rPr>
          <w:rFonts w:hint="eastAsia" w:ascii="Calibri" w:hAnsi="Calibri" w:eastAsia="宋体"/>
          <w:color w:val="000000"/>
          <w:sz w:val="20"/>
          <w:szCs w:val="20"/>
        </w:rPr>
        <w:t xml:space="preserve">       《经济学原理》 N.格里高利•曼昆 北京大学出版社 2012年7月第一版</w:t>
      </w:r>
    </w:p>
    <w:p>
      <w:pPr>
        <w:snapToGrid w:val="0"/>
        <w:spacing w:line="288" w:lineRule="auto"/>
        <w:ind w:firstLine="392" w:firstLineChars="196"/>
        <w:rPr>
          <w:rFonts w:hint="eastAsia" w:ascii="Calibri" w:hAnsi="Calibri" w:eastAsia="宋体"/>
          <w:color w:val="000000"/>
          <w:sz w:val="20"/>
          <w:szCs w:val="20"/>
        </w:rPr>
      </w:pPr>
      <w:r>
        <w:rPr>
          <w:rFonts w:hint="eastAsia" w:ascii="Calibri" w:hAnsi="Calibri" w:eastAsia="宋体"/>
          <w:color w:val="000000"/>
          <w:sz w:val="20"/>
          <w:szCs w:val="20"/>
        </w:rPr>
        <w:t xml:space="preserve">       《经济心理学》 孙科炎 董晓孝 中国电力出版社 2011年11月第一版</w:t>
      </w:r>
    </w:p>
    <w:p>
      <w:pPr>
        <w:snapToGrid w:val="0"/>
        <w:spacing w:line="288" w:lineRule="auto"/>
        <w:ind w:firstLine="392" w:firstLineChars="196"/>
        <w:rPr>
          <w:rFonts w:hint="eastAsia" w:ascii="Calibri" w:hAnsi="Calibri" w:eastAsia="宋体"/>
          <w:color w:val="000000"/>
          <w:sz w:val="20"/>
          <w:szCs w:val="20"/>
        </w:rPr>
      </w:pPr>
      <w:r>
        <w:rPr>
          <w:rFonts w:hint="eastAsia" w:ascii="Calibri" w:hAnsi="Calibri" w:eastAsia="宋体"/>
          <w:color w:val="000000"/>
          <w:sz w:val="20"/>
          <w:szCs w:val="20"/>
        </w:rPr>
        <w:t xml:space="preserve">       《管理经济学》 孔英 北京大学出版社 2012年4月第一版</w:t>
      </w:r>
    </w:p>
    <w:p>
      <w:pPr>
        <w:snapToGrid w:val="0"/>
        <w:spacing w:line="288" w:lineRule="auto"/>
        <w:ind w:firstLine="394" w:firstLineChars="196"/>
        <w:rPr>
          <w:rFonts w:ascii="Calibri" w:hAnsi="Calibri" w:eastAsia="宋体"/>
          <w:color w:val="000000"/>
          <w:sz w:val="20"/>
          <w:szCs w:val="20"/>
        </w:rPr>
      </w:pPr>
      <w:r>
        <w:rPr>
          <w:rFonts w:hint="eastAsia" w:ascii="Calibri" w:hAnsi="Calibri" w:eastAsia="宋体"/>
          <w:b/>
          <w:bCs/>
          <w:color w:val="000000"/>
          <w:sz w:val="20"/>
          <w:szCs w:val="20"/>
        </w:rPr>
        <w:t>课程网站网址：</w:t>
      </w:r>
    </w:p>
    <w:p>
      <w:pPr>
        <w:adjustRightInd w:val="0"/>
        <w:snapToGrid w:val="0"/>
        <w:spacing w:line="288" w:lineRule="auto"/>
        <w:ind w:firstLine="394" w:firstLineChars="196"/>
        <w:rPr>
          <w:rFonts w:ascii="Calibri" w:hAnsi="Calibri" w:eastAsia="宋体"/>
          <w:color w:val="000000"/>
          <w:sz w:val="20"/>
          <w:szCs w:val="20"/>
        </w:rPr>
      </w:pPr>
      <w:r>
        <w:rPr>
          <w:rFonts w:hint="eastAsia" w:ascii="Calibri" w:hAnsi="Calibri" w:eastAsia="宋体"/>
          <w:b/>
          <w:bCs/>
          <w:color w:val="000000"/>
          <w:sz w:val="20"/>
          <w:szCs w:val="20"/>
        </w:rPr>
        <w:t>先修课程：</w:t>
      </w:r>
      <w:r>
        <w:rPr>
          <w:rFonts w:hint="eastAsia" w:ascii="Calibri" w:hAnsi="Calibri" w:eastAsia="宋体"/>
          <w:color w:val="000000"/>
          <w:sz w:val="20"/>
          <w:szCs w:val="20"/>
        </w:rPr>
        <w:t>【</w:t>
      </w:r>
      <w:r>
        <w:rPr>
          <w:rFonts w:hint="eastAsia" w:ascii="Calibri" w:hAnsi="Calibri" w:eastAsia="宋体"/>
          <w:color w:val="000000"/>
          <w:sz w:val="20"/>
          <w:szCs w:val="20"/>
          <w:lang w:eastAsia="zh-CN"/>
        </w:rPr>
        <w:t>无</w:t>
      </w:r>
      <w:r>
        <w:rPr>
          <w:rFonts w:hint="eastAsia" w:ascii="Calibri" w:hAnsi="Calibri" w:eastAsia="宋体"/>
          <w:color w:val="000000"/>
          <w:sz w:val="20"/>
          <w:szCs w:val="20"/>
        </w:rPr>
        <w:t>】</w:t>
      </w:r>
    </w:p>
    <w:p>
      <w:pPr>
        <w:adjustRightInd w:val="0"/>
        <w:snapToGrid w:val="0"/>
        <w:spacing w:before="156" w:beforeLines="50" w:after="156" w:afterLines="50" w:line="288" w:lineRule="auto"/>
        <w:ind w:firstLine="348" w:firstLineChars="145"/>
        <w:rPr>
          <w:rFonts w:ascii="Calibri" w:hAnsi="Calibri" w:eastAsia="宋体"/>
          <w:b/>
          <w:color w:val="000000"/>
          <w:sz w:val="24"/>
          <w:szCs w:val="20"/>
        </w:rPr>
      </w:pPr>
      <w:r>
        <w:rPr>
          <w:rFonts w:hint="eastAsia" w:ascii="黑体" w:hAnsi="宋体" w:eastAsia="黑体"/>
          <w:sz w:val="24"/>
          <w:szCs w:val="22"/>
        </w:rPr>
        <w:t>二、课程简介（必填项）</w:t>
      </w:r>
    </w:p>
    <w:p>
      <w:pPr>
        <w:snapToGrid w:val="0"/>
        <w:spacing w:line="360" w:lineRule="auto"/>
        <w:ind w:firstLine="400" w:firstLineChars="200"/>
        <w:rPr>
          <w:rFonts w:hint="eastAsia" w:ascii="Calibri" w:hAnsi="Calibri" w:eastAsia="宋体"/>
          <w:color w:val="000000"/>
          <w:sz w:val="20"/>
          <w:szCs w:val="20"/>
        </w:rPr>
      </w:pPr>
      <w:r>
        <w:rPr>
          <w:rFonts w:hint="eastAsia" w:ascii="Calibri" w:hAnsi="Calibri" w:eastAsia="宋体"/>
          <w:color w:val="000000"/>
          <w:sz w:val="20"/>
          <w:szCs w:val="20"/>
        </w:rPr>
        <w:t xml:space="preserve">   经济学是一门研究人类经济活动和行为的科学，从亚当·斯密的《国富论》开始，经济学成为一门独立的学科，并逐渐为人们所熟知。经济学起源于对人类经济活动的经验观察，也随着人类经济活动的发展而发展，经济问题已经渗入到普通百姓的生活中。本课程将经济学理论与当前国内外经济现象及经济运行紧密结合，包括以下八个专题：生活中的经济学常识、生活中的投资经济学、生活中的公共经济学、生活中的行为经济学、生活中的管理经济学、生活中的国际经济学、生活中的制度经济学以及生活中的信息经济学等。通过本课程的学习，使学生对经济学的基本问题和基本观点有比较全面的认识，掌握经济学的基本概念、基本思想、基本分析方法和基本理论，对国内外经济现象和经济运行有一个比较全面的了解，建立起经济学的基本思维框架，为进一步学习其它专业课程奠定理论基础。</w:t>
      </w:r>
    </w:p>
    <w:p>
      <w:pPr>
        <w:widowControl/>
        <w:spacing w:before="156" w:beforeLines="50" w:after="156" w:afterLines="50" w:line="288" w:lineRule="auto"/>
        <w:ind w:firstLine="360" w:firstLineChars="150"/>
        <w:jc w:val="left"/>
        <w:rPr>
          <w:rFonts w:ascii="黑体" w:hAnsi="宋体" w:eastAsia="黑体"/>
          <w:sz w:val="24"/>
          <w:szCs w:val="22"/>
        </w:rPr>
      </w:pPr>
      <w:r>
        <w:rPr>
          <w:rFonts w:hint="eastAsia" w:ascii="黑体" w:hAnsi="宋体" w:eastAsia="黑体"/>
          <w:sz w:val="24"/>
          <w:szCs w:val="22"/>
        </w:rPr>
        <w:t>三、选课建议（必填项）</w:t>
      </w:r>
    </w:p>
    <w:p>
      <w:pPr>
        <w:snapToGrid w:val="0"/>
        <w:spacing w:line="288" w:lineRule="auto"/>
        <w:ind w:firstLine="400" w:firstLineChars="200"/>
        <w:rPr>
          <w:rFonts w:ascii="宋体" w:hAnsi="宋体" w:eastAsia="宋体"/>
          <w:sz w:val="24"/>
        </w:rPr>
      </w:pPr>
      <w:r>
        <w:rPr>
          <w:rFonts w:hint="eastAsia" w:ascii="宋体" w:hAnsi="宋体" w:eastAsia="宋体"/>
          <w:sz w:val="20"/>
          <w:szCs w:val="20"/>
        </w:rPr>
        <w:t>本课程面向</w:t>
      </w:r>
      <w:r>
        <w:rPr>
          <w:rFonts w:hint="eastAsia" w:ascii="宋体" w:hAnsi="宋体" w:eastAsia="宋体"/>
          <w:sz w:val="20"/>
          <w:szCs w:val="20"/>
          <w:lang w:eastAsia="zh-CN"/>
        </w:rPr>
        <w:t>全校本科各</w:t>
      </w:r>
      <w:r>
        <w:rPr>
          <w:rFonts w:hint="eastAsia" w:ascii="宋体" w:hAnsi="宋体" w:eastAsia="宋体"/>
          <w:sz w:val="20"/>
          <w:szCs w:val="20"/>
        </w:rPr>
        <w:t>专业学生，学生有无经济学基础知识皆可选修本课程。</w:t>
      </w:r>
    </w:p>
    <w:p>
      <w:pPr>
        <w:widowControl/>
        <w:spacing w:before="156" w:beforeLines="50" w:after="156" w:afterLines="50" w:line="288" w:lineRule="auto"/>
        <w:ind w:firstLine="360" w:firstLineChars="150"/>
        <w:jc w:val="left"/>
        <w:rPr>
          <w:rFonts w:ascii="黑体" w:hAnsi="宋体" w:eastAsia="黑体"/>
          <w:sz w:val="24"/>
          <w:szCs w:val="22"/>
        </w:rPr>
      </w:pPr>
      <w:r>
        <w:rPr>
          <w:rFonts w:hint="eastAsia" w:ascii="黑体" w:hAnsi="宋体" w:eastAsia="黑体"/>
          <w:sz w:val="24"/>
          <w:szCs w:val="22"/>
        </w:rPr>
        <w:t>四、课程目标/课程预期学习成果（必填项）（预期学习成果要可测量/能够证明）</w:t>
      </w:r>
    </w:p>
    <w:tbl>
      <w:tblPr>
        <w:tblStyle w:val="5"/>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6" w:type="dxa"/>
            <w:tcBorders>
              <w:top w:val="single" w:color="auto" w:sz="4" w:space="0"/>
              <w:left w:val="single" w:color="auto" w:sz="4" w:space="0"/>
              <w:bottom w:val="single" w:color="auto" w:sz="4" w:space="0"/>
              <w:right w:val="single" w:color="auto" w:sz="4" w:space="0"/>
            </w:tcBorders>
            <w:vAlign w:val="top"/>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序号</w:t>
            </w:r>
          </w:p>
        </w:tc>
        <w:tc>
          <w:tcPr>
            <w:tcW w:w="1174" w:type="dxa"/>
            <w:tcBorders>
              <w:top w:val="single" w:color="auto" w:sz="4" w:space="0"/>
              <w:left w:val="single" w:color="auto" w:sz="4" w:space="0"/>
              <w:bottom w:val="single" w:color="auto" w:sz="4" w:space="0"/>
              <w:right w:val="single" w:color="auto" w:sz="4" w:space="0"/>
            </w:tcBorders>
            <w:vAlign w:val="top"/>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课程预期</w:t>
            </w:r>
          </w:p>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课程目标</w:t>
            </w:r>
          </w:p>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（细化的预期学习成果）</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 w:val="24"/>
                <w:szCs w:val="22"/>
              </w:rPr>
            </w:pPr>
            <w:r>
              <w:rPr>
                <w:rFonts w:hint="eastAsia" w:ascii="仿宋" w:hAnsi="仿宋" w:eastAsia="仿宋" w:cs="宋体"/>
                <w:color w:val="000000"/>
                <w:kern w:val="0"/>
                <w:sz w:val="24"/>
              </w:rPr>
              <w:t>LO</w:t>
            </w:r>
            <w:r>
              <w:rPr>
                <w:rFonts w:hint="eastAsia" w:ascii="仿宋" w:hAnsi="仿宋" w:eastAsia="仿宋" w:cs="宋体"/>
                <w:color w:val="000000"/>
                <w:kern w:val="0"/>
                <w:sz w:val="24"/>
                <w:lang w:val="en-US" w:eastAsia="zh-CN"/>
              </w:rPr>
              <w:t>112</w:t>
            </w:r>
          </w:p>
        </w:tc>
        <w:tc>
          <w:tcPr>
            <w:tcW w:w="246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color w:val="000000"/>
                <w:kern w:val="0"/>
                <w:sz w:val="24"/>
                <w:szCs w:val="22"/>
              </w:rPr>
            </w:pPr>
            <w:r>
              <w:rPr>
                <w:rFonts w:hint="eastAsia" w:ascii="宋体" w:hAnsi="宋体" w:eastAsia="宋体" w:cs="宋体"/>
                <w:i w:val="0"/>
                <w:color w:val="000000"/>
                <w:kern w:val="0"/>
                <w:sz w:val="20"/>
                <w:szCs w:val="20"/>
                <w:u w:val="none"/>
                <w:lang w:val="en-US" w:eastAsia="zh-CN" w:bidi="ar"/>
              </w:rPr>
              <w:t>应用书面或口头形式，阐释自己的观点，有效沟通。</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黑体" w:hAnsi="宋体" w:eastAsia="黑体"/>
                <w:sz w:val="24"/>
                <w:szCs w:val="22"/>
                <w:lang w:eastAsia="zh-CN"/>
              </w:rPr>
            </w:pPr>
            <w:r>
              <w:rPr>
                <w:rFonts w:hint="eastAsia" w:ascii="宋体" w:hAnsi="宋体" w:eastAsia="宋体" w:cs="宋体"/>
                <w:i w:val="0"/>
                <w:color w:val="000000"/>
                <w:kern w:val="0"/>
                <w:sz w:val="20"/>
                <w:szCs w:val="20"/>
                <w:u w:val="none"/>
                <w:lang w:val="en-US" w:eastAsia="zh-CN" w:bidi="ar"/>
              </w:rPr>
              <w:t>讲解、课堂互动</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 w:val="24"/>
                <w:szCs w:val="22"/>
                <w:lang w:eastAsia="zh-CN"/>
              </w:rPr>
            </w:pPr>
            <w:r>
              <w:rPr>
                <w:rFonts w:hint="eastAsia" w:ascii="仿宋" w:hAnsi="仿宋" w:eastAsia="仿宋" w:cs="宋体"/>
                <w:color w:val="000000"/>
                <w:kern w:val="0"/>
                <w:sz w:val="24"/>
                <w:lang w:val="en-US" w:eastAsia="zh-CN"/>
              </w:rPr>
              <w:t>2</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 w:val="24"/>
                <w:szCs w:val="22"/>
              </w:rPr>
            </w:pPr>
            <w:r>
              <w:rPr>
                <w:rFonts w:hint="eastAsia" w:ascii="仿宋" w:hAnsi="仿宋" w:eastAsia="仿宋" w:cs="宋体"/>
                <w:color w:val="000000"/>
                <w:kern w:val="0"/>
                <w:sz w:val="24"/>
              </w:rPr>
              <w:t>LO</w:t>
            </w:r>
            <w:r>
              <w:rPr>
                <w:rFonts w:hint="eastAsia" w:ascii="仿宋" w:hAnsi="仿宋" w:eastAsia="仿宋" w:cs="宋体"/>
                <w:color w:val="000000"/>
                <w:kern w:val="0"/>
                <w:sz w:val="24"/>
                <w:lang w:val="en-US" w:eastAsia="zh-CN"/>
              </w:rPr>
              <w:t>212</w:t>
            </w:r>
          </w:p>
        </w:tc>
        <w:tc>
          <w:tcPr>
            <w:tcW w:w="246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color w:val="000000"/>
                <w:kern w:val="0"/>
                <w:sz w:val="24"/>
                <w:szCs w:val="22"/>
              </w:rPr>
            </w:pPr>
            <w:r>
              <w:rPr>
                <w:rFonts w:hint="eastAsia" w:ascii="宋体" w:hAnsi="宋体" w:eastAsia="宋体" w:cs="宋体"/>
                <w:i w:val="0"/>
                <w:color w:val="000000"/>
                <w:kern w:val="0"/>
                <w:sz w:val="20"/>
                <w:szCs w:val="20"/>
                <w:u w:val="none"/>
                <w:lang w:val="en-US" w:eastAsia="zh-CN" w:bidi="ar"/>
              </w:rPr>
              <w:t>能搜集、获取达到目标所需要的学习资源，实施学习计划、反思学习计划、持续改进，达到学习目标。</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讲解、案例分析、课后阅读</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期终开卷考试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2"/>
                <w:lang w:val="en-US" w:eastAsia="zh-CN"/>
              </w:rPr>
            </w:pPr>
            <w:r>
              <w:rPr>
                <w:rFonts w:hint="eastAsia" w:ascii="仿宋" w:hAnsi="仿宋" w:eastAsia="仿宋" w:cs="宋体"/>
                <w:color w:val="000000"/>
                <w:kern w:val="0"/>
                <w:sz w:val="24"/>
                <w:szCs w:val="22"/>
                <w:lang w:val="en-US" w:eastAsia="zh-CN"/>
              </w:rPr>
              <w:t>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2"/>
                <w:lang w:val="en-US" w:eastAsia="zh-CN"/>
              </w:rPr>
            </w:pPr>
            <w:r>
              <w:rPr>
                <w:rFonts w:hint="eastAsia" w:ascii="仿宋" w:hAnsi="仿宋" w:eastAsia="仿宋" w:cs="宋体"/>
                <w:color w:val="000000"/>
                <w:kern w:val="0"/>
                <w:sz w:val="24"/>
                <w:szCs w:val="22"/>
                <w:lang w:val="en-US" w:eastAsia="zh-CN"/>
              </w:rPr>
              <w:t>LO513</w:t>
            </w:r>
          </w:p>
        </w:tc>
        <w:tc>
          <w:tcPr>
            <w:tcW w:w="246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color w:val="000000"/>
                <w:kern w:val="0"/>
                <w:sz w:val="24"/>
              </w:rPr>
            </w:pPr>
            <w:r>
              <w:rPr>
                <w:rFonts w:hint="eastAsia" w:ascii="宋体" w:hAnsi="宋体" w:eastAsia="宋体" w:cs="宋体"/>
                <w:i w:val="0"/>
                <w:color w:val="000000"/>
                <w:kern w:val="0"/>
                <w:sz w:val="20"/>
                <w:szCs w:val="20"/>
                <w:u w:val="none"/>
                <w:lang w:val="en-US" w:eastAsia="zh-CN" w:bidi="ar"/>
              </w:rPr>
              <w:t>能用创新的方法或者多种方法解决复杂问题或真实问题。</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讲解、课堂互动</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课堂测验</w:t>
            </w:r>
          </w:p>
        </w:tc>
      </w:tr>
    </w:tbl>
    <w:p>
      <w:pPr>
        <w:snapToGrid w:val="0"/>
        <w:spacing w:line="288" w:lineRule="auto"/>
        <w:rPr>
          <w:rFonts w:hint="eastAsia" w:ascii="黑体" w:hAnsi="宋体" w:eastAsia="黑体"/>
          <w:sz w:val="24"/>
          <w:szCs w:val="22"/>
        </w:rPr>
      </w:pPr>
    </w:p>
    <w:p>
      <w:pPr>
        <w:widowControl/>
        <w:spacing w:before="156" w:beforeLines="50" w:after="156" w:afterLines="50" w:line="288" w:lineRule="auto"/>
        <w:ind w:firstLine="360" w:firstLineChars="150"/>
        <w:jc w:val="left"/>
        <w:rPr>
          <w:rFonts w:hint="eastAsia" w:ascii="黑体" w:hAnsi="宋体" w:eastAsia="黑体"/>
          <w:sz w:val="24"/>
          <w:szCs w:val="22"/>
        </w:rPr>
      </w:pPr>
      <w:r>
        <w:rPr>
          <w:rFonts w:hint="eastAsia" w:ascii="黑体" w:hAnsi="宋体" w:eastAsia="黑体"/>
          <w:sz w:val="24"/>
          <w:szCs w:val="22"/>
        </w:rPr>
        <w:t>五、课程内容（必填项）</w:t>
      </w:r>
    </w:p>
    <w:p>
      <w:pPr>
        <w:snapToGrid w:val="0"/>
        <w:spacing w:line="288" w:lineRule="auto"/>
        <w:ind w:firstLine="422" w:firstLineChars="200"/>
        <w:rPr>
          <w:rFonts w:hint="eastAsia" w:ascii="宋体" w:hAnsi="宋体" w:eastAsia="宋体"/>
          <w:b/>
          <w:sz w:val="21"/>
          <w:szCs w:val="21"/>
        </w:rPr>
      </w:pPr>
      <w:r>
        <w:rPr>
          <w:rFonts w:hint="eastAsia" w:ascii="宋体" w:hAnsi="宋体" w:eastAsia="宋体"/>
          <w:b/>
          <w:sz w:val="21"/>
          <w:szCs w:val="21"/>
        </w:rPr>
        <w:t>一、生活中的经济学常识</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1、知道经济学十大原理</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2、理解经济学“理性人”假设</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3、理解各项经济指标的内容及其意义</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4、运用经济学分析方法分析某一经济现象</w:t>
      </w:r>
    </w:p>
    <w:p>
      <w:pPr>
        <w:snapToGrid w:val="0"/>
        <w:spacing w:line="288" w:lineRule="auto"/>
        <w:ind w:firstLine="420" w:firstLineChars="200"/>
        <w:rPr>
          <w:rFonts w:hint="eastAsia" w:ascii="黑体" w:hAnsi="黑体" w:eastAsia="黑体" w:cs="黑体"/>
          <w:sz w:val="21"/>
          <w:szCs w:val="21"/>
        </w:rPr>
      </w:pPr>
      <w:r>
        <w:rPr>
          <w:rFonts w:hint="eastAsia" w:ascii="宋体" w:hAnsi="宋体" w:eastAsia="宋体" w:cs="宋体"/>
          <w:sz w:val="21"/>
          <w:szCs w:val="21"/>
        </w:rPr>
        <w:t>5、评价当前国内外经济运行状况</w:t>
      </w:r>
    </w:p>
    <w:p>
      <w:pPr>
        <w:snapToGrid w:val="0"/>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二、生活中的投资经济学</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1、知道金融业（银行、证券、保险、信托等）发展现状</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2、理解货币供给与通货膨胀、就业率之间的相关关系</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3、理解货币时间价值、利率与汇率的含义</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4、运用基本分析与技术分析进行投资决策</w:t>
      </w:r>
    </w:p>
    <w:p>
      <w:pPr>
        <w:snapToGrid w:val="0"/>
        <w:spacing w:line="288" w:lineRule="auto"/>
        <w:ind w:firstLine="420" w:firstLineChars="200"/>
        <w:rPr>
          <w:rFonts w:hint="eastAsia" w:ascii="宋体" w:hAnsi="宋体" w:eastAsia="宋体"/>
          <w:sz w:val="21"/>
          <w:szCs w:val="21"/>
        </w:rPr>
      </w:pPr>
      <w:r>
        <w:rPr>
          <w:rFonts w:hint="eastAsia" w:ascii="宋体" w:hAnsi="宋体" w:eastAsia="宋体" w:cs="宋体"/>
          <w:sz w:val="21"/>
          <w:szCs w:val="21"/>
        </w:rPr>
        <w:t>5、分析生活中资本运作的投资案例</w:t>
      </w:r>
    </w:p>
    <w:p>
      <w:pPr>
        <w:numPr>
          <w:ilvl w:val="0"/>
          <w:numId w:val="1"/>
        </w:numPr>
        <w:snapToGrid w:val="0"/>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生活中的公共经济学</w:t>
      </w:r>
    </w:p>
    <w:p>
      <w:pPr>
        <w:numPr>
          <w:ilvl w:val="0"/>
          <w:numId w:val="2"/>
        </w:num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知道政府的经济与社会职责</w:t>
      </w:r>
    </w:p>
    <w:p>
      <w:pPr>
        <w:numPr>
          <w:ilvl w:val="0"/>
          <w:numId w:val="2"/>
        </w:num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理解生活中政府的宏观经济调控政策</w:t>
      </w:r>
    </w:p>
    <w:p>
      <w:pPr>
        <w:numPr>
          <w:ilvl w:val="0"/>
          <w:numId w:val="2"/>
        </w:num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理解财政收入与财政支出的内容及其对经济的影响</w:t>
      </w:r>
    </w:p>
    <w:p>
      <w:pPr>
        <w:numPr>
          <w:ilvl w:val="0"/>
          <w:numId w:val="2"/>
        </w:num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评价近年来政府宏观调控政策的有效性与局限性</w:t>
      </w:r>
    </w:p>
    <w:p>
      <w:pPr>
        <w:numPr>
          <w:ilvl w:val="0"/>
          <w:numId w:val="2"/>
        </w:numPr>
        <w:snapToGrid w:val="0"/>
        <w:spacing w:line="288" w:lineRule="auto"/>
        <w:ind w:firstLine="420" w:firstLineChars="200"/>
        <w:rPr>
          <w:rFonts w:hint="eastAsia" w:ascii="宋体" w:hAnsi="宋体" w:eastAsia="宋体"/>
          <w:sz w:val="21"/>
          <w:szCs w:val="21"/>
        </w:rPr>
      </w:pPr>
      <w:r>
        <w:rPr>
          <w:rFonts w:hint="eastAsia" w:ascii="宋体" w:hAnsi="宋体" w:eastAsia="宋体" w:cs="宋体"/>
          <w:sz w:val="21"/>
          <w:szCs w:val="21"/>
        </w:rPr>
        <w:t>分析当前地方债难题--产生、现状及解决之道</w:t>
      </w:r>
    </w:p>
    <w:p>
      <w:pPr>
        <w:numPr>
          <w:ilvl w:val="0"/>
          <w:numId w:val="3"/>
        </w:numPr>
        <w:snapToGrid w:val="0"/>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生活中的行为经济学</w:t>
      </w:r>
    </w:p>
    <w:p>
      <w:pPr>
        <w:numPr>
          <w:ilvl w:val="0"/>
          <w:numId w:val="4"/>
        </w:num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理解自利行为与利他行为--一对矛盾而又统一的行为特征</w:t>
      </w:r>
    </w:p>
    <w:p>
      <w:pPr>
        <w:numPr>
          <w:ilvl w:val="0"/>
          <w:numId w:val="4"/>
        </w:num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分析生活中的“搭便车”现象</w:t>
      </w:r>
    </w:p>
    <w:p>
      <w:pPr>
        <w:numPr>
          <w:ilvl w:val="0"/>
          <w:numId w:val="4"/>
        </w:num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分析生活中的“囚徒困境”现象</w:t>
      </w:r>
    </w:p>
    <w:p>
      <w:pPr>
        <w:numPr>
          <w:ilvl w:val="0"/>
          <w:numId w:val="4"/>
        </w:numPr>
        <w:snapToGrid w:val="0"/>
        <w:spacing w:line="288" w:lineRule="auto"/>
        <w:ind w:firstLine="420" w:firstLineChars="200"/>
        <w:rPr>
          <w:rFonts w:hint="eastAsia" w:ascii="宋体" w:hAnsi="宋体" w:eastAsia="宋体"/>
          <w:sz w:val="21"/>
          <w:szCs w:val="21"/>
        </w:rPr>
      </w:pPr>
      <w:r>
        <w:rPr>
          <w:rFonts w:hint="eastAsia" w:ascii="宋体" w:hAnsi="宋体" w:eastAsia="宋体" w:cs="宋体"/>
          <w:sz w:val="21"/>
          <w:szCs w:val="21"/>
        </w:rPr>
        <w:t>运用经济心理学分析经济生活中的消费现象</w:t>
      </w:r>
    </w:p>
    <w:p>
      <w:pPr>
        <w:numPr>
          <w:ilvl w:val="0"/>
          <w:numId w:val="5"/>
        </w:numPr>
        <w:snapToGrid w:val="0"/>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生活中的管理和就业经济学</w:t>
      </w:r>
    </w:p>
    <w:p>
      <w:pPr>
        <w:numPr>
          <w:ilvl w:val="0"/>
          <w:numId w:val="6"/>
        </w:num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了解生活中企业经营管理的收益风险分析方法</w:t>
      </w:r>
    </w:p>
    <w:p>
      <w:pPr>
        <w:snapToGrid w:val="0"/>
        <w:spacing w:line="288" w:lineRule="auto"/>
        <w:rPr>
          <w:rFonts w:hint="eastAsia" w:ascii="宋体" w:hAnsi="宋体" w:eastAsia="宋体" w:cs="宋体"/>
          <w:sz w:val="21"/>
          <w:szCs w:val="21"/>
        </w:rPr>
      </w:pPr>
      <w:r>
        <w:rPr>
          <w:rFonts w:hint="eastAsia" w:ascii="宋体" w:hAnsi="宋体" w:eastAsia="宋体" w:cs="宋体"/>
          <w:sz w:val="21"/>
          <w:szCs w:val="21"/>
        </w:rPr>
        <w:t xml:space="preserve">    2、分析“鲶鱼效应”在人力资源管理中的作用</w:t>
      </w:r>
    </w:p>
    <w:p>
      <w:pPr>
        <w:snapToGrid w:val="0"/>
        <w:spacing w:line="288" w:lineRule="auto"/>
        <w:rPr>
          <w:rFonts w:hint="eastAsia" w:ascii="宋体" w:hAnsi="宋体" w:eastAsia="宋体" w:cs="宋体"/>
          <w:sz w:val="21"/>
          <w:szCs w:val="21"/>
        </w:rPr>
      </w:pPr>
      <w:r>
        <w:rPr>
          <w:rFonts w:hint="eastAsia" w:ascii="宋体" w:hAnsi="宋体" w:eastAsia="宋体" w:cs="宋体"/>
          <w:sz w:val="21"/>
          <w:szCs w:val="21"/>
        </w:rPr>
        <w:t xml:space="preserve">    3、分析“瓶颈效应”在职业发展中的制约性及相应对策</w:t>
      </w:r>
    </w:p>
    <w:p>
      <w:pPr>
        <w:snapToGrid w:val="0"/>
        <w:spacing w:line="288" w:lineRule="auto"/>
        <w:rPr>
          <w:rFonts w:hint="eastAsia" w:ascii="宋体" w:hAnsi="宋体" w:eastAsia="宋体"/>
          <w:sz w:val="21"/>
          <w:szCs w:val="21"/>
        </w:rPr>
      </w:pPr>
      <w:r>
        <w:rPr>
          <w:rFonts w:hint="eastAsia" w:ascii="宋体" w:hAnsi="宋体" w:eastAsia="宋体" w:cs="宋体"/>
          <w:sz w:val="21"/>
          <w:szCs w:val="21"/>
        </w:rPr>
        <w:t xml:space="preserve">    4、综合分析生活中大学生就业偏好的成因及就业指导对策</w:t>
      </w:r>
    </w:p>
    <w:p>
      <w:pPr>
        <w:numPr>
          <w:ilvl w:val="0"/>
          <w:numId w:val="5"/>
        </w:numPr>
        <w:snapToGrid w:val="0"/>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生活中的国际经济学</w:t>
      </w:r>
    </w:p>
    <w:p>
      <w:pPr>
        <w:snapToGrid w:val="0"/>
        <w:spacing w:line="288"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1、了解生活中区域经济一体化与经济全球化现象</w:t>
      </w:r>
    </w:p>
    <w:p>
      <w:pPr>
        <w:snapToGrid w:val="0"/>
        <w:spacing w:line="288"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2、理解“中国制造”背后的比较优势与竞争优势</w:t>
      </w:r>
    </w:p>
    <w:p>
      <w:pPr>
        <w:snapToGrid w:val="0"/>
        <w:spacing w:line="288"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3、分析关税及非关税壁垒对中国进出口贸易的影响</w:t>
      </w:r>
    </w:p>
    <w:p>
      <w:pPr>
        <w:snapToGrid w:val="0"/>
        <w:spacing w:line="288"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4、运用贸易中的政治经济学分析美国政府采购本国钢材对中美两国的影响</w:t>
      </w:r>
    </w:p>
    <w:p>
      <w:pPr>
        <w:snapToGrid w:val="0"/>
        <w:spacing w:line="288"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5、分析2008年美国金融危机及其对中国的影响</w:t>
      </w:r>
    </w:p>
    <w:p>
      <w:pPr>
        <w:snapToGrid w:val="0"/>
        <w:spacing w:line="288" w:lineRule="auto"/>
        <w:ind w:firstLine="420" w:firstLineChars="200"/>
        <w:rPr>
          <w:rFonts w:hint="eastAsia" w:ascii="宋体" w:hAnsi="宋体" w:eastAsia="宋体"/>
          <w:sz w:val="21"/>
          <w:szCs w:val="21"/>
        </w:rPr>
      </w:pPr>
      <w:r>
        <w:rPr>
          <w:rFonts w:hint="eastAsia" w:ascii="宋体" w:hAnsi="宋体" w:eastAsia="宋体" w:cs="宋体"/>
          <w:b w:val="0"/>
          <w:bCs w:val="0"/>
          <w:sz w:val="21"/>
          <w:szCs w:val="21"/>
        </w:rPr>
        <w:t>6、评价开放经济条件下中国进出口贸易政策及“一带一路”发展战略</w:t>
      </w:r>
    </w:p>
    <w:p>
      <w:pPr>
        <w:numPr>
          <w:ilvl w:val="0"/>
          <w:numId w:val="5"/>
        </w:numPr>
        <w:snapToGrid w:val="0"/>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生活中的制度经济学</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1、了解生活中各类资源的产权现状</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2、理解现代企业管理中的委托代理合约</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3、理解经济生活中的路径依赖现象</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4、通过中国经济改革开放成果分析制度变迁的重要性</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5、运用交易费用概念分析生活中企业的性质</w:t>
      </w:r>
    </w:p>
    <w:p>
      <w:pPr>
        <w:snapToGrid w:val="0"/>
        <w:spacing w:line="288" w:lineRule="auto"/>
        <w:ind w:firstLine="420" w:firstLineChars="200"/>
        <w:rPr>
          <w:rFonts w:hint="eastAsia" w:ascii="黑体" w:hAnsi="黑体" w:eastAsia="黑体" w:cs="黑体"/>
          <w:sz w:val="21"/>
          <w:szCs w:val="21"/>
        </w:rPr>
      </w:pPr>
      <w:r>
        <w:rPr>
          <w:rFonts w:hint="eastAsia" w:ascii="宋体" w:hAnsi="宋体" w:eastAsia="宋体" w:cs="宋体"/>
          <w:sz w:val="21"/>
          <w:szCs w:val="21"/>
        </w:rPr>
        <w:t>6、运用间接定价合约分析生活中房价的差异性</w:t>
      </w:r>
    </w:p>
    <w:p>
      <w:pPr>
        <w:numPr>
          <w:ilvl w:val="0"/>
          <w:numId w:val="5"/>
        </w:numPr>
        <w:snapToGrid w:val="0"/>
        <w:spacing w:line="288" w:lineRule="auto"/>
        <w:ind w:firstLine="422" w:firstLineChars="200"/>
        <w:rPr>
          <w:rFonts w:hint="eastAsia" w:ascii="宋体" w:hAnsi="宋体" w:eastAsia="宋体"/>
          <w:b/>
          <w:bCs/>
          <w:sz w:val="21"/>
          <w:szCs w:val="21"/>
        </w:rPr>
      </w:pPr>
      <w:r>
        <w:rPr>
          <w:rFonts w:hint="eastAsia" w:ascii="宋体" w:hAnsi="宋体" w:eastAsia="宋体"/>
          <w:b/>
          <w:bCs/>
          <w:sz w:val="21"/>
          <w:szCs w:val="21"/>
        </w:rPr>
        <w:t>生活中的信息经济学</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1、理解《大数据时代》一书引发的关于“大数据”的讨论热潮</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2、分析保险市场上的道德风险现象</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3、分析生活中的替代性考核现象</w:t>
      </w:r>
    </w:p>
    <w:p>
      <w:pPr>
        <w:snapToGrid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4、运用“逆向选择”概念分析二手商品市场上的“劣币驱逐良币”现象</w:t>
      </w:r>
    </w:p>
    <w:p>
      <w:pPr>
        <w:snapToGrid w:val="0"/>
        <w:spacing w:line="288"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5、分析生活中的信息甄别案例</w:t>
      </w:r>
    </w:p>
    <w:p>
      <w:pPr>
        <w:snapToGrid w:val="0"/>
        <w:spacing w:line="288" w:lineRule="auto"/>
        <w:ind w:right="26"/>
        <w:rPr>
          <w:rFonts w:hint="eastAsia" w:ascii="Calibri" w:hAnsi="Calibri" w:eastAsia="宋体"/>
          <w:sz w:val="20"/>
          <w:szCs w:val="20"/>
        </w:rPr>
      </w:pPr>
    </w:p>
    <w:p>
      <w:pPr>
        <w:widowControl/>
        <w:spacing w:before="156" w:beforeLines="50" w:after="156" w:afterLines="50" w:line="288" w:lineRule="auto"/>
        <w:ind w:firstLine="360" w:firstLineChars="150"/>
        <w:jc w:val="left"/>
        <w:rPr>
          <w:rFonts w:ascii="黑体" w:hAnsi="宋体" w:eastAsia="黑体"/>
          <w:sz w:val="24"/>
          <w:szCs w:val="22"/>
        </w:rPr>
      </w:pPr>
      <w:r>
        <w:rPr>
          <w:rFonts w:hint="eastAsia" w:ascii="黑体" w:hAnsi="宋体" w:eastAsia="黑体"/>
          <w:sz w:val="24"/>
          <w:szCs w:val="22"/>
        </w:rPr>
        <w:t>六、课内实验名称及基本要求（选填，适用于课内实验）</w:t>
      </w:r>
    </w:p>
    <w:p>
      <w:pPr>
        <w:snapToGrid w:val="0"/>
        <w:spacing w:line="288" w:lineRule="auto"/>
        <w:ind w:right="26" w:firstLine="400" w:firstLineChars="200"/>
        <w:rPr>
          <w:rFonts w:hint="eastAsia" w:ascii="Calibri" w:hAnsi="Calibri" w:eastAsia="宋体"/>
          <w:sz w:val="20"/>
          <w:szCs w:val="20"/>
        </w:rPr>
      </w:pPr>
      <w:r>
        <w:rPr>
          <w:rFonts w:hint="eastAsia" w:ascii="Calibri" w:hAnsi="Calibri" w:eastAsia="宋体"/>
          <w:sz w:val="20"/>
          <w:szCs w:val="20"/>
        </w:rPr>
        <w:t>列出课程实验的名称、学时数、实验类型（演示型、验证型、设计型、综合型）及每个实验的内容简述。</w:t>
      </w:r>
    </w:p>
    <w:tbl>
      <w:tblPr>
        <w:tblStyle w:val="5"/>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81"/>
        <w:gridCol w:w="3081"/>
        <w:gridCol w:w="900"/>
        <w:gridCol w:w="105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Calibri" w:eastAsia="宋体"/>
                <w:sz w:val="21"/>
                <w:szCs w:val="21"/>
              </w:rPr>
            </w:pPr>
            <w:r>
              <w:rPr>
                <w:rFonts w:hint="eastAsia" w:ascii="宋体" w:hAnsi="宋体" w:eastAsia="宋体"/>
                <w:sz w:val="21"/>
                <w:szCs w:val="21"/>
              </w:rPr>
              <w:t>序号</w:t>
            </w:r>
          </w:p>
        </w:tc>
        <w:tc>
          <w:tcPr>
            <w:tcW w:w="1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Calibri" w:eastAsia="宋体"/>
                <w:sz w:val="21"/>
                <w:szCs w:val="21"/>
              </w:rPr>
            </w:pPr>
            <w:r>
              <w:rPr>
                <w:rFonts w:hint="eastAsia" w:ascii="宋体" w:hAnsi="宋体" w:eastAsia="宋体"/>
                <w:sz w:val="21"/>
                <w:szCs w:val="21"/>
              </w:rPr>
              <w:t>实验名称</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Calibri" w:eastAsia="宋体"/>
                <w:sz w:val="21"/>
                <w:szCs w:val="21"/>
              </w:rPr>
            </w:pPr>
            <w:r>
              <w:rPr>
                <w:rFonts w:hint="eastAsia" w:ascii="宋体" w:hAnsi="宋体" w:eastAsia="宋体"/>
                <w:sz w:val="21"/>
                <w:szCs w:val="21"/>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sz w:val="21"/>
                <w:szCs w:val="21"/>
              </w:rPr>
            </w:pPr>
            <w:r>
              <w:rPr>
                <w:rFonts w:hint="eastAsia" w:ascii="宋体" w:hAnsi="宋体" w:eastAsia="宋体"/>
                <w:sz w:val="21"/>
                <w:szCs w:val="21"/>
              </w:rPr>
              <w:t>实验</w:t>
            </w:r>
          </w:p>
          <w:p>
            <w:pPr>
              <w:snapToGrid w:val="0"/>
              <w:jc w:val="center"/>
              <w:rPr>
                <w:rFonts w:hint="eastAsia" w:ascii="宋体" w:hAnsi="Calibri" w:eastAsia="宋体"/>
                <w:sz w:val="21"/>
                <w:szCs w:val="21"/>
              </w:rPr>
            </w:pPr>
            <w:r>
              <w:rPr>
                <w:rFonts w:hint="eastAsia" w:ascii="宋体" w:hAnsi="宋体" w:eastAsia="宋体"/>
                <w:sz w:val="21"/>
                <w:szCs w:val="21"/>
              </w:rPr>
              <w:t>时数</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Calibri" w:eastAsia="宋体"/>
                <w:sz w:val="21"/>
                <w:szCs w:val="21"/>
              </w:rPr>
            </w:pPr>
            <w:r>
              <w:rPr>
                <w:rFonts w:hint="eastAsia" w:ascii="宋体" w:hAnsi="Calibri" w:eastAsia="宋体"/>
                <w:sz w:val="21"/>
                <w:szCs w:val="21"/>
              </w:rPr>
              <w:t>实验类型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Calibri"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hint="eastAsia" w:ascii="宋体" w:hAnsi="Calibri" w:eastAsia="宋体"/>
                <w:sz w:val="21"/>
                <w:szCs w:val="21"/>
                <w:lang w:val="en-US" w:eastAsia="zh-CN"/>
              </w:rPr>
            </w:pPr>
            <w:r>
              <w:rPr>
                <w:rFonts w:hint="eastAsia" w:ascii="宋体" w:hAnsi="Calibri" w:eastAsia="宋体"/>
                <w:sz w:val="21"/>
                <w:szCs w:val="21"/>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hint="eastAsia" w:ascii="宋体" w:hAnsi="Calibri" w:eastAsia="宋体"/>
                <w:sz w:val="21"/>
                <w:szCs w:val="21"/>
                <w:lang w:eastAsia="zh-CN"/>
              </w:rPr>
            </w:pPr>
            <w:r>
              <w:rPr>
                <w:rFonts w:hint="eastAsia" w:ascii="宋体" w:hAnsi="Calibri" w:eastAsia="宋体"/>
                <w:sz w:val="21"/>
                <w:szCs w:val="21"/>
                <w:lang w:eastAsia="zh-CN"/>
              </w:rPr>
              <w:t>股票投资技术分析</w:t>
            </w:r>
          </w:p>
        </w:tc>
        <w:tc>
          <w:tcPr>
            <w:tcW w:w="3081"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before="156" w:beforeLines="50" w:after="156" w:afterLines="50" w:line="288" w:lineRule="auto"/>
              <w:jc w:val="center"/>
              <w:rPr>
                <w:rFonts w:hint="eastAsia" w:ascii="宋体" w:hAnsi="Calibri" w:eastAsia="宋体"/>
                <w:sz w:val="21"/>
                <w:szCs w:val="21"/>
                <w:lang w:val="en-US" w:eastAsia="zh-CN"/>
              </w:rPr>
            </w:pPr>
            <w:r>
              <w:rPr>
                <w:rFonts w:hint="eastAsia" w:ascii="宋体" w:hAnsi="Calibri" w:eastAsia="宋体"/>
                <w:sz w:val="21"/>
                <w:szCs w:val="21"/>
                <w:lang w:val="en-US" w:eastAsia="zh-CN"/>
              </w:rPr>
              <w:t>演示股票技术指标查看与分析</w:t>
            </w:r>
          </w:p>
          <w:p>
            <w:pPr>
              <w:numPr>
                <w:ilvl w:val="0"/>
                <w:numId w:val="0"/>
              </w:numPr>
              <w:snapToGrid w:val="0"/>
              <w:spacing w:before="156" w:beforeLines="50" w:after="156" w:afterLines="50" w:line="288" w:lineRule="auto"/>
              <w:jc w:val="both"/>
              <w:rPr>
                <w:rFonts w:hint="eastAsia" w:ascii="宋体" w:hAnsi="Calibri" w:eastAsia="宋体"/>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hint="eastAsia" w:ascii="宋体" w:hAnsi="Calibri" w:eastAsia="宋体"/>
                <w:sz w:val="21"/>
                <w:szCs w:val="21"/>
                <w:lang w:val="en-US" w:eastAsia="zh-CN"/>
              </w:rPr>
            </w:pPr>
            <w:r>
              <w:rPr>
                <w:rFonts w:hint="eastAsia" w:ascii="宋体" w:hAnsi="Calibri" w:eastAsia="宋体"/>
                <w:sz w:val="21"/>
                <w:szCs w:val="21"/>
                <w:lang w:val="en-US" w:eastAsia="zh-CN"/>
              </w:rPr>
              <w:t>1</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hint="eastAsia" w:ascii="宋体" w:hAnsi="Calibri" w:eastAsia="宋体"/>
                <w:sz w:val="21"/>
                <w:szCs w:val="21"/>
                <w:lang w:eastAsia="zh-CN"/>
              </w:rPr>
            </w:pPr>
            <w:r>
              <w:rPr>
                <w:rFonts w:hint="eastAsia" w:ascii="宋体" w:hAnsi="Calibri" w:eastAsia="宋体"/>
                <w:sz w:val="21"/>
                <w:szCs w:val="21"/>
                <w:lang w:eastAsia="zh-CN"/>
              </w:rPr>
              <w:t>演示类</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hint="eastAsia" w:ascii="宋体" w:hAnsi="Calibri" w:eastAsia="宋体"/>
                <w:sz w:val="21"/>
                <w:szCs w:val="21"/>
              </w:rPr>
            </w:pPr>
            <w:r>
              <w:rPr>
                <w:color w:val="000000"/>
                <w:kern w:val="0"/>
                <w:sz w:val="21"/>
                <w:szCs w:val="21"/>
              </w:rPr>
              <w:sym w:font="Wingdings 2" w:char="F098"/>
            </w:r>
          </w:p>
        </w:tc>
      </w:tr>
    </w:tbl>
    <w:p>
      <w:pPr>
        <w:snapToGrid w:val="0"/>
        <w:spacing w:before="120" w:after="120" w:line="288" w:lineRule="auto"/>
        <w:ind w:firstLine="400" w:firstLineChars="200"/>
        <w:rPr>
          <w:rFonts w:hint="eastAsia" w:ascii="宋体" w:hAnsi="宋体" w:eastAsia="宋体"/>
          <w:sz w:val="20"/>
          <w:szCs w:val="20"/>
          <w:highlight w:val="yellow"/>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、评价方式与成绩</w:t>
      </w:r>
      <w:r>
        <w:rPr>
          <w:rFonts w:ascii="黑体" w:hAnsi="宋体" w:eastAsia="黑体"/>
          <w:sz w:val="24"/>
          <w:highlight w:val="none"/>
        </w:rPr>
        <w:t>（必填项）</w:t>
      </w:r>
    </w:p>
    <w:tbl>
      <w:tblPr>
        <w:tblStyle w:val="5"/>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期末考试</w:t>
            </w:r>
            <w:r>
              <w:rPr>
                <w:rFonts w:hint="eastAsia" w:ascii="宋体" w:hAnsi="宋体"/>
                <w:bCs/>
                <w:color w:val="000000"/>
                <w:szCs w:val="20"/>
                <w:lang w:eastAsia="zh-CN"/>
              </w:rPr>
              <w:t>（</w:t>
            </w:r>
            <w:r>
              <w:rPr>
                <w:rFonts w:hint="eastAsia" w:ascii="宋体" w:hAnsi="宋体"/>
                <w:bCs/>
                <w:color w:val="000000"/>
                <w:szCs w:val="20"/>
                <w:lang w:val="en-US" w:eastAsia="zh-CN"/>
              </w:rPr>
              <w:t>16周随堂考）</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随堂测验1</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rPr>
              <w:t>随堂测验</w:t>
            </w:r>
            <w:r>
              <w:rPr>
                <w:rFonts w:hint="eastAsia" w:ascii="宋体" w:hAnsi="宋体"/>
                <w:bCs/>
                <w:color w:val="000000"/>
                <w:szCs w:val="20"/>
                <w:lang w:val="en-US" w:eastAsia="zh-CN"/>
              </w:rPr>
              <w:t>2</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Theme="minorEastAsia"/>
                <w:bCs/>
                <w:color w:val="000000"/>
                <w:szCs w:val="20"/>
                <w:highlight w:val="none"/>
                <w:lang w:eastAsia="zh-CN"/>
              </w:rPr>
              <w:t>课程论文</w:t>
            </w:r>
          </w:p>
        </w:tc>
        <w:tc>
          <w:tcPr>
            <w:tcW w:w="2127" w:type="dxa"/>
            <w:shd w:val="clear" w:color="auto" w:fill="auto"/>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20%</w:t>
            </w:r>
          </w:p>
        </w:tc>
      </w:tr>
    </w:tbl>
    <w:p>
      <w:pPr>
        <w:snapToGrid w:val="0"/>
        <w:spacing w:line="360" w:lineRule="auto"/>
        <w:rPr>
          <w:rFonts w:hint="eastAsia"/>
          <w:sz w:val="28"/>
          <w:szCs w:val="28"/>
          <w:highlight w:val="none"/>
        </w:rPr>
      </w:pPr>
    </w:p>
    <w:p>
      <w:pPr>
        <w:keepNext w:val="0"/>
        <w:keepLines w:val="0"/>
        <w:pageBreakBefore w:val="0"/>
        <w:numPr>
          <w:ilvl w:val="0"/>
          <w:numId w:val="0"/>
        </w:numPr>
        <w:kinsoku/>
        <w:wordWrap/>
        <w:overflowPunct/>
        <w:topLinePunct w:val="0"/>
        <w:autoSpaceDE/>
        <w:autoSpaceDN/>
        <w:bidi w:val="0"/>
        <w:snapToGrid w:val="0"/>
        <w:spacing w:line="360" w:lineRule="auto"/>
        <w:ind w:right="2520" w:rightChars="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八、课程思政预期成果及成果表现形式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内与国际经济、金融案例，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 w:val="20"/>
          <w:szCs w:val="20"/>
          <w:highlight w:val="none"/>
        </w:rPr>
      </w:pPr>
      <w:r>
        <w:rPr>
          <w:rFonts w:hint="eastAsia"/>
          <w:lang w:eastAsia="zh-CN"/>
        </w:rPr>
        <w:t>教学案例：开展围绕“改革开放以来新中国的对外开放成就”来进行进出口贸易、对外投资、经济一体化、区域一体化等各个层面的经济、金融新闻报道，搜集相关数据，在课堂上进行探讨、分享心得。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通过课堂分享，增强学生的国家荣誉感、自豪感，坚定学生对社会主义制度的</w:t>
      </w:r>
      <w:bookmarkStart w:id="0" w:name="_GoBack"/>
      <w:bookmarkEnd w:id="0"/>
      <w:r>
        <w:rPr>
          <w:rFonts w:hint="eastAsia"/>
          <w:lang w:eastAsia="zh-CN"/>
        </w:rPr>
        <w:t>道路自信、文化自信、制度自信和理论自信。</w:t>
      </w:r>
    </w:p>
    <w:p>
      <w:pPr>
        <w:snapToGrid w:val="0"/>
        <w:spacing w:line="360" w:lineRule="auto"/>
        <w:rPr>
          <w:rFonts w:hint="eastAsia"/>
          <w:sz w:val="28"/>
          <w:szCs w:val="28"/>
          <w:highlight w:val="none"/>
        </w:rPr>
      </w:pPr>
    </w:p>
    <w:p>
      <w:pPr>
        <w:snapToGrid w:val="0"/>
        <w:spacing w:line="360" w:lineRule="auto"/>
      </w:pPr>
      <w:r>
        <w:rPr>
          <w:rFonts w:hint="eastAsia"/>
          <w:sz w:val="28"/>
          <w:szCs w:val="28"/>
          <w:highlight w:val="none"/>
        </w:rPr>
        <w:t>撰写人：</w:t>
      </w:r>
      <w:r>
        <w:rPr>
          <w:rFonts w:hint="eastAsia"/>
          <w:sz w:val="28"/>
          <w:szCs w:val="28"/>
          <w:highlight w:val="none"/>
          <w:lang w:eastAsia="zh-CN"/>
        </w:rPr>
        <w:t>蔡福恩</w:t>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eastAsia="zh-CN"/>
        </w:rPr>
        <w:t>张建民</w:t>
      </w: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2019.09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1DB81"/>
    <w:multiLevelType w:val="singleLevel"/>
    <w:tmpl w:val="5541DB81"/>
    <w:lvl w:ilvl="0" w:tentative="0">
      <w:start w:val="3"/>
      <w:numFmt w:val="chineseCounting"/>
      <w:suff w:val="nothing"/>
      <w:lvlText w:val="%1、"/>
      <w:lvlJc w:val="left"/>
    </w:lvl>
  </w:abstractNum>
  <w:abstractNum w:abstractNumId="1">
    <w:nsid w:val="5541DBD1"/>
    <w:multiLevelType w:val="singleLevel"/>
    <w:tmpl w:val="5541DBD1"/>
    <w:lvl w:ilvl="0" w:tentative="0">
      <w:start w:val="1"/>
      <w:numFmt w:val="decimal"/>
      <w:suff w:val="nothing"/>
      <w:lvlText w:val="%1、"/>
      <w:lvlJc w:val="left"/>
    </w:lvl>
  </w:abstractNum>
  <w:abstractNum w:abstractNumId="2">
    <w:nsid w:val="5541DE2D"/>
    <w:multiLevelType w:val="singleLevel"/>
    <w:tmpl w:val="5541DE2D"/>
    <w:lvl w:ilvl="0" w:tentative="0">
      <w:start w:val="4"/>
      <w:numFmt w:val="chineseCounting"/>
      <w:suff w:val="nothing"/>
      <w:lvlText w:val="%1、"/>
      <w:lvlJc w:val="left"/>
    </w:lvl>
  </w:abstractNum>
  <w:abstractNum w:abstractNumId="3">
    <w:nsid w:val="5541DF58"/>
    <w:multiLevelType w:val="singleLevel"/>
    <w:tmpl w:val="5541DF58"/>
    <w:lvl w:ilvl="0" w:tentative="0">
      <w:start w:val="1"/>
      <w:numFmt w:val="decimal"/>
      <w:suff w:val="nothing"/>
      <w:lvlText w:val="%1、"/>
      <w:lvlJc w:val="left"/>
    </w:lvl>
  </w:abstractNum>
  <w:abstractNum w:abstractNumId="4">
    <w:nsid w:val="5541E0E8"/>
    <w:multiLevelType w:val="singleLevel"/>
    <w:tmpl w:val="5541E0E8"/>
    <w:lvl w:ilvl="0" w:tentative="0">
      <w:start w:val="5"/>
      <w:numFmt w:val="chineseCounting"/>
      <w:suff w:val="nothing"/>
      <w:lvlText w:val="%1、"/>
      <w:lvlJc w:val="left"/>
    </w:lvl>
  </w:abstractNum>
  <w:abstractNum w:abstractNumId="5">
    <w:nsid w:val="55470263"/>
    <w:multiLevelType w:val="singleLevel"/>
    <w:tmpl w:val="5547026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66CAC"/>
    <w:rsid w:val="005B2B6D"/>
    <w:rsid w:val="005B4B4E"/>
    <w:rsid w:val="00624FE1"/>
    <w:rsid w:val="007208D6"/>
    <w:rsid w:val="008B397C"/>
    <w:rsid w:val="008B47F4"/>
    <w:rsid w:val="00900019"/>
    <w:rsid w:val="0099063E"/>
    <w:rsid w:val="00B511A5"/>
    <w:rsid w:val="00B7651F"/>
    <w:rsid w:val="00C30B5A"/>
    <w:rsid w:val="00C56E09"/>
    <w:rsid w:val="00C721FD"/>
    <w:rsid w:val="00E16D30"/>
    <w:rsid w:val="00E33169"/>
    <w:rsid w:val="00E70904"/>
    <w:rsid w:val="00EE1EFB"/>
    <w:rsid w:val="00EF44B1"/>
    <w:rsid w:val="00F35AA0"/>
    <w:rsid w:val="00FF2C61"/>
    <w:rsid w:val="024B0C39"/>
    <w:rsid w:val="069B1B17"/>
    <w:rsid w:val="06CD4C74"/>
    <w:rsid w:val="07910517"/>
    <w:rsid w:val="089608E6"/>
    <w:rsid w:val="1252010C"/>
    <w:rsid w:val="170C74B4"/>
    <w:rsid w:val="24192CCC"/>
    <w:rsid w:val="24BD4C22"/>
    <w:rsid w:val="272C7960"/>
    <w:rsid w:val="3CD52CE1"/>
    <w:rsid w:val="3D3C55B6"/>
    <w:rsid w:val="3DF47BFC"/>
    <w:rsid w:val="41736F2E"/>
    <w:rsid w:val="4C653F3E"/>
    <w:rsid w:val="54875D3D"/>
    <w:rsid w:val="56C33D32"/>
    <w:rsid w:val="59D22D28"/>
    <w:rsid w:val="5D69312A"/>
    <w:rsid w:val="65E3492F"/>
    <w:rsid w:val="66BA4938"/>
    <w:rsid w:val="67724B53"/>
    <w:rsid w:val="6EC86481"/>
    <w:rsid w:val="6ECA485A"/>
    <w:rsid w:val="6F5042C2"/>
    <w:rsid w:val="71B40FF7"/>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216</Words>
  <Characters>1234</Characters>
  <Lines>10</Lines>
  <Paragraphs>2</Paragraphs>
  <TotalTime>2</TotalTime>
  <ScaleCrop>false</ScaleCrop>
  <LinksUpToDate>false</LinksUpToDate>
  <CharactersWithSpaces>1448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2018-04-16T10:54:00Z</cp:lastPrinted>
  <dcterms:modified xsi:type="dcterms:W3CDTF">2019-08-31T02:19:49Z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