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page number"/>
          <w:sz w:val="6"/>
          <w:szCs w:val="6"/>
        </w:rPr>
      </w:pPr>
    </w:p>
    <w:p>
      <w:pPr>
        <w:pStyle w:val="Normal.0"/>
        <w:jc w:val="center"/>
        <w:rPr>
          <w:rStyle w:val="page number"/>
          <w:sz w:val="6"/>
          <w:szCs w:val="6"/>
        </w:rPr>
      </w:pPr>
    </w:p>
    <w:p>
      <w:pPr>
        <w:pStyle w:val="Normal.0"/>
        <w:jc w:val="center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上海建桥学院课程教学进度计划表</w:t>
      </w:r>
    </w:p>
    <w:p>
      <w:pPr>
        <w:pStyle w:val="Normal.0"/>
        <w:spacing w:after="180"/>
        <w:jc w:val="center"/>
        <w:rPr>
          <w:rStyle w:val="page number"/>
          <w:rFonts w:ascii="仿宋" w:cs="仿宋" w:hAnsi="仿宋" w:eastAsia="仿宋"/>
          <w:sz w:val="28"/>
          <w:szCs w:val="28"/>
        </w:rPr>
      </w:pPr>
    </w:p>
    <w:p>
      <w:pPr>
        <w:pStyle w:val="Normal.0"/>
        <w:spacing w:before="180" w:after="180"/>
        <w:jc w:val="both"/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一、基本信息</w:t>
      </w:r>
    </w:p>
    <w:tbl>
      <w:tblPr>
        <w:tblW w:w="878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8"/>
        <w:gridCol w:w="2268"/>
        <w:gridCol w:w="1134"/>
        <w:gridCol w:w="3969"/>
      </w:tblGrid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课程代码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2030385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艺术鉴赏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课程学分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总学时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授课教师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李艺冉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教师邮箱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19064</w:t>
            </w: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en-US"/>
              </w:rPr>
              <w:t>@gench.edu.com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上课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班级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</w:rPr>
              <w:t xml:space="preserve">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CN" w:eastAsia="zh-CN"/>
              </w:rPr>
              <w:t>传播</w:t>
            </w: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B18-2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上课教室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</w:pPr>
            <w:r>
              <w:rPr>
                <w:rFonts w:ascii="宋体" w:cs="宋体" w:hAnsi="宋体" w:eastAsia="宋体"/>
                <w:sz w:val="21"/>
                <w:szCs w:val="21"/>
                <w:shd w:val="nil" w:color="auto" w:fill="auto"/>
                <w:rtl w:val="0"/>
                <w:lang w:val="zh-TW" w:eastAsia="zh-TW"/>
              </w:rPr>
              <w:t>线上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答疑时间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周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四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上午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34</w:t>
            </w: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节</w:t>
            </w:r>
          </w:p>
        </w:tc>
      </w:tr>
      <w:tr>
        <w:tblPrEx>
          <w:shd w:val="clear" w:color="auto" w:fill="ced7e7"/>
        </w:tblPrEx>
        <w:trPr>
          <w:trHeight w:val="42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主要教材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</w:pPr>
            <w:r>
              <w:rPr>
                <w:rFonts w:ascii="PMingLiU" w:cs="PMingLiU" w:hAnsi="PMingLiU" w:eastAsia="PMingLiU"/>
                <w:sz w:val="22"/>
                <w:szCs w:val="22"/>
                <w:shd w:val="nil" w:color="auto" w:fill="auto"/>
                <w:rtl w:val="0"/>
                <w:lang w:val="zh-TW" w:eastAsia="zh-TW"/>
              </w:rPr>
              <w:t>艺术鉴赏，清华大学出版社，第</w:t>
            </w:r>
            <w:r>
              <w:rPr>
                <w:rFonts w:ascii="宋体" w:cs="宋体" w:hAnsi="宋体" w:eastAsia="宋体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PMingLiU" w:cs="PMingLiU" w:hAnsi="PMingLiU" w:eastAsia="PMingLiU"/>
                <w:sz w:val="22"/>
                <w:szCs w:val="22"/>
                <w:shd w:val="nil" w:color="auto" w:fill="auto"/>
                <w:rtl w:val="0"/>
                <w:lang w:val="zh-TW" w:eastAsia="zh-TW"/>
              </w:rPr>
              <w:t>版，</w:t>
            </w:r>
            <w:r>
              <w:rPr>
                <w:rFonts w:ascii="宋体" w:cs="宋体" w:hAnsi="宋体" w:eastAsia="宋体"/>
                <w:sz w:val="22"/>
                <w:szCs w:val="22"/>
                <w:shd w:val="nil" w:color="auto" w:fill="auto"/>
                <w:rtl w:val="0"/>
                <w:lang w:val="en-US"/>
              </w:rPr>
              <w:t>2018-05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参考资料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rPr>
                <w:rFonts w:ascii="Calibri" w:cs="Calibri" w:hAnsi="Calibri" w:eastAsia="Calibri"/>
                <w:outline w:val="0"/>
                <w:color w:val="0e0e0e"/>
                <w:kern w:val="0"/>
                <w:sz w:val="22"/>
                <w:szCs w:val="22"/>
                <w:u w:color="0e0e0e"/>
                <w:shd w:val="nil" w:color="auto" w:fill="auto"/>
                <w14:textFill>
                  <w14:solidFill>
                    <w14:srgbClr w14:val="0E0E0E"/>
                  </w14:solidFill>
                </w14:textFill>
              </w:rPr>
            </w:pPr>
            <w:r>
              <w:rPr>
                <w:rFonts w:eastAsia="Arial Unicode MS" w:hint="eastAsia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《认识艺术（全彩插图第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eastAsia="Arial Unicode MS" w:hint="eastAsia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版）》，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[</w:t>
            </w:r>
            <w:r>
              <w:rPr>
                <w:rFonts w:eastAsia="Arial Unicode MS" w:hint="eastAsia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美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]</w:t>
            </w:r>
            <w:r>
              <w:rPr>
                <w:rFonts w:eastAsia="Arial Unicode MS" w:hint="eastAsia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马克</w:t>
            </w:r>
            <w:r>
              <w:rPr>
                <w:rFonts w:ascii="Calibri" w:hAnsi="Calibri" w:hint="default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·</w:t>
            </w:r>
            <w:r>
              <w:rPr>
                <w:rFonts w:eastAsia="Arial Unicode MS" w:hint="eastAsia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盖特莱恩，王滢译，世界图书出版公司、后浪出版公司，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2014</w:t>
            </w:r>
            <w:r>
              <w:rPr>
                <w:rFonts w:eastAsia="Arial Unicode MS" w:hint="eastAsia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年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</w:t>
            </w:r>
            <w:r>
              <w:rPr>
                <w:rFonts w:eastAsia="Arial Unicode MS" w:hint="eastAsia"/>
                <w:outline w:val="0"/>
                <w:color w:val="000000"/>
                <w:kern w:val="2"/>
                <w:sz w:val="22"/>
                <w:szCs w:val="2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月；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rFonts w:ascii="Calibri" w:cs="Calibri" w:hAnsi="Calibri" w:eastAsia="Calibri"/>
                <w:outline w:val="0"/>
                <w:color w:val="0e0e0e"/>
                <w:kern w:val="0"/>
                <w:sz w:val="22"/>
                <w:szCs w:val="22"/>
                <w:u w:color="0e0e0e"/>
                <w:shd w:val="nil" w:color="auto" w:fill="auto"/>
                <w:rtl w:val="0"/>
                <w14:textFill>
                  <w14:solidFill>
                    <w14:srgbClr w14:val="0E0E0E"/>
                  </w14:solidFill>
                </w14:textFill>
              </w:rPr>
            </w:pPr>
            <w:r>
              <w:rPr>
                <w:rFonts w:eastAsia="Arial Unicode MS" w:hint="eastAsia"/>
                <w:outline w:val="0"/>
                <w:color w:val="0e0e0e"/>
                <w:kern w:val="0"/>
                <w:sz w:val="22"/>
                <w:szCs w:val="22"/>
                <w:u w:color="0e0e0e"/>
                <w:shd w:val="nil" w:color="auto" w:fill="auto"/>
                <w:rtl w:val="0"/>
                <w:lang w:val="zh-TW" w:eastAsia="zh-TW"/>
                <w14:textFill>
                  <w14:solidFill>
                    <w14:srgbClr w14:val="0E0E0E"/>
                  </w14:solidFill>
                </w14:textFill>
              </w:rPr>
              <w:t>《</w:t>
            </w:r>
            <w:r>
              <w:rPr>
                <w:rFonts w:eastAsia="Arial Unicode MS" w:hint="eastAsia"/>
                <w:outline w:val="0"/>
                <w:color w:val="393939"/>
                <w:kern w:val="0"/>
                <w:sz w:val="22"/>
                <w:szCs w:val="22"/>
                <w:u w:color="393939"/>
                <w:shd w:val="nil" w:color="auto" w:fill="auto"/>
                <w:rtl w:val="0"/>
                <w:lang w:val="zh-TW" w:eastAsia="zh-TW"/>
                <w14:textFill>
                  <w14:solidFill>
                    <w14:srgbClr w14:val="393939"/>
                  </w14:solidFill>
                </w14:textFill>
              </w:rPr>
              <w:t>中西方音乐通史提要</w:t>
            </w:r>
            <w:r>
              <w:rPr>
                <w:rFonts w:eastAsia="Arial Unicode MS" w:hint="eastAsia"/>
                <w:outline w:val="0"/>
                <w:color w:val="0e0e0e"/>
                <w:kern w:val="0"/>
                <w:sz w:val="22"/>
                <w:szCs w:val="22"/>
                <w:u w:color="0e0e0e"/>
                <w:shd w:val="nil" w:color="auto" w:fill="auto"/>
                <w:rtl w:val="0"/>
                <w:lang w:val="zh-TW" w:eastAsia="zh-TW"/>
                <w14:textFill>
                  <w14:solidFill>
                    <w14:srgbClr w14:val="0E0E0E"/>
                  </w14:solidFill>
                </w14:textFill>
              </w:rPr>
              <w:t>》，田克文，中国地质大学出版社出版；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rial Unicode MS" w:hint="eastAsia"/>
                <w:outline w:val="0"/>
                <w:color w:val="0e0e0e"/>
                <w:kern w:val="0"/>
                <w:sz w:val="22"/>
                <w:szCs w:val="22"/>
                <w:u w:color="0e0e0e"/>
                <w:shd w:val="nil" w:color="auto" w:fill="auto"/>
                <w:rtl w:val="0"/>
                <w:lang w:val="zh-TW" w:eastAsia="zh-TW"/>
                <w14:textFill>
                  <w14:solidFill>
                    <w14:srgbClr w14:val="0E0E0E"/>
                  </w14:solidFill>
                </w14:textFill>
              </w:rPr>
              <w:t>《艺术概论》，王宏建，文化艺术出版社；</w:t>
            </w:r>
          </w:p>
        </w:tc>
      </w:tr>
    </w:tbl>
    <w:p>
      <w:pPr>
        <w:pStyle w:val="Normal.0"/>
        <w:spacing w:before="180" w:after="180"/>
        <w:ind w:left="216" w:hanging="216"/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80" w:after="180"/>
        <w:ind w:left="108" w:hanging="108"/>
        <w:jc w:val="both"/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40" w:lineRule="exact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80" w:after="180"/>
        <w:jc w:val="both"/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二、课程教学进度</w:t>
      </w:r>
    </w:p>
    <w:tbl>
      <w:tblPr>
        <w:tblW w:w="860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5"/>
        <w:gridCol w:w="3794"/>
        <w:gridCol w:w="1249"/>
        <w:gridCol w:w="2914"/>
      </w:tblGrid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20" w:after="120"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周次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40" w:lineRule="exact"/>
              <w:ind w:firstLine="357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教学内容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教学方式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作业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艺术鉴赏课程介绍及要求，艺术鉴赏概况与礼仪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讲授与交流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绘画与雕塑鉴赏（上）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绘画、雕塑、建筑类作品鉴赏（三者任选一主题），小组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PPT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汇报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绘画与雕塑鉴赏（下）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X1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建筑艺术鉴赏（上）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X1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建筑艺术鉴赏（下）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CN" w:eastAsia="zh-CN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服装设计艺术鉴赏（上）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——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服饰设计中的艺术体现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时尚、服装、影视作品类鉴赏（三者任选一主题），小组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PPT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汇报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服装设计艺术鉴赏（下）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——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时尚形象塑造（服饰搭配，时尚大片创意）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X2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时尚品牌艺术鉴赏（上）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X2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时尚品牌艺术鉴赏（下）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X2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电影艺术鉴赏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X2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音乐鉴赏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（上）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音乐、舞蹈、戏剧作品类鉴赏（三者任选一主题），小组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PPT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汇报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音乐鉴赏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（下）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X3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舞蹈鉴赏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X3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戏剧鉴赏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（上）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X3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戏剧鉴赏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（下）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X3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sz w:val="18"/>
                <w:szCs w:val="18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7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（按课程内容）自选方向进行大作品创作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（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CN" w:eastAsia="zh-CN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方案拟定）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type="dxa" w:w="29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Calibri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按照要求提供相关文件</w:t>
            </w:r>
          </w:p>
        </w:tc>
      </w:tr>
    </w:tbl>
    <w:p>
      <w:pPr>
        <w:pStyle w:val="Normal.0"/>
        <w:spacing w:before="180" w:after="180"/>
        <w:ind w:left="216" w:hanging="216"/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80" w:after="180"/>
        <w:ind w:left="108" w:hanging="108"/>
        <w:jc w:val="both"/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360" w:after="180"/>
        <w:jc w:val="both"/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三、评价方式以及在总评成绩中的比例</w:t>
      </w:r>
    </w:p>
    <w:tbl>
      <w:tblPr>
        <w:tblW w:w="88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6"/>
        <w:gridCol w:w="5151"/>
        <w:gridCol w:w="1861"/>
      </w:tblGrid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总评构成（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1+X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）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评价方式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ffffff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占比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（按课程内容）自选方向进行大作品创作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40%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绘画、雕塑、建筑类作品鉴赏（三者任选一主题），小组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PPT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汇报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X2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时尚、服装、影视作品类鉴赏（三者任选一主题），小组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PPT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汇报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5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音乐、舞蹈、戏剧作品类鉴赏（三者任选一主题），小组</w:t>
            </w: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PPT</w:t>
            </w: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汇报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20%</w:t>
            </w:r>
          </w:p>
        </w:tc>
      </w:tr>
    </w:tbl>
    <w:p>
      <w:pPr>
        <w:pStyle w:val="Normal.0"/>
        <w:spacing w:before="360" w:after="180"/>
        <w:ind w:left="108" w:hanging="108"/>
        <w:rPr>
          <w:outline w:val="0"/>
          <w:color w:val="000000"/>
          <w:position w:val="-8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210"/>
          <w:tab w:val="left" w:pos="7560"/>
        </w:tabs>
        <w:spacing w:before="72"/>
        <w:jc w:val="both"/>
        <w:outlineLvl w:val="0"/>
        <w:rPr>
          <w:rFonts w:ascii="仿宋" w:cs="仿宋" w:hAnsi="仿宋" w:eastAsia="仿宋"/>
          <w:outline w:val="0"/>
          <w:color w:val="000000"/>
          <w:position w:val="-80"/>
          <w:sz w:val="28"/>
          <w:szCs w:val="28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position w:val="-8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任课教师：</w:t>
      </w:r>
      <w:r>
        <w:rPr>
          <w:rFonts w:ascii="仿宋" w:cs="仿宋" w:hAnsi="仿宋" w:eastAsia="仿宋"/>
          <w:position w:val="-80"/>
          <w:sz w:val="28"/>
          <w:szCs w:val="28"/>
          <w:rtl w:val="0"/>
          <w:lang w:val="zh-TW" w:eastAsia="zh-TW"/>
        </w:rPr>
        <w:t>李艺冉</w:t>
      </w:r>
      <w:r>
        <w:rPr>
          <w:rFonts w:ascii="仿宋" w:cs="仿宋" w:hAnsi="仿宋" w:eastAsia="仿宋"/>
          <w:outline w:val="0"/>
          <w:color w:val="000000"/>
          <w:position w:val="-8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系主任审核：</w:t>
      </w:r>
      <w:r>
        <w:rPr>
          <w:rFonts w:ascii="仿宋" w:cs="仿宋" w:hAnsi="仿宋" w:eastAsia="仿宋"/>
          <w:outline w:val="0"/>
          <w:color w:val="000000"/>
          <w:position w:val="-8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仿宋" w:cs="仿宋" w:hAnsi="仿宋" w:eastAsia="仿宋"/>
          <w:position w:val="-80"/>
          <w:sz w:val="28"/>
          <w:szCs w:val="28"/>
          <w:rtl w:val="0"/>
          <w:lang w:val="zh-TW" w:eastAsia="zh-TW"/>
        </w:rPr>
        <w:t>沈慧萍</w:t>
      </w:r>
      <w:r>
        <w:rPr>
          <w:rFonts w:ascii="仿宋" w:cs="仿宋" w:hAnsi="仿宋" w:eastAsia="仿宋"/>
          <w:outline w:val="0"/>
          <w:color w:val="000000"/>
          <w:position w:val="-8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仿宋" w:cs="仿宋" w:hAnsi="仿宋" w:eastAsia="仿宋"/>
          <w:outline w:val="0"/>
          <w:color w:val="000000"/>
          <w:position w:val="-80"/>
          <w:sz w:val="28"/>
          <w:szCs w:val="28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Normal.0"/>
        <w:tabs>
          <w:tab w:val="left" w:pos="3210"/>
          <w:tab w:val="left" w:pos="7560"/>
        </w:tabs>
        <w:spacing w:before="72"/>
        <w:jc w:val="both"/>
        <w:outlineLvl w:val="0"/>
      </w:pPr>
      <w:r>
        <w:rPr>
          <w:rFonts w:ascii="仿宋" w:cs="仿宋" w:hAnsi="仿宋" w:eastAsia="仿宋"/>
          <w:outline w:val="0"/>
          <w:color w:val="000000"/>
          <w:position w:val="-8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日期：</w:t>
      </w:r>
      <w:r>
        <w:rPr>
          <w:rFonts w:ascii="仿宋" w:cs="仿宋" w:hAnsi="仿宋" w:eastAsia="仿宋"/>
          <w:outline w:val="0"/>
          <w:color w:val="000000"/>
          <w:position w:val="-80"/>
          <w:sz w:val="28"/>
          <w:szCs w:val="28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2020.09.12</w:t>
      </w:r>
    </w:p>
    <w:sectPr>
      <w:headerReference w:type="default" r:id="rId4"/>
      <w:footerReference w:type="default" r:id="rId5"/>
      <w:pgSz w:w="11900" w:h="16840" w:orient="portrait"/>
      <w:pgMar w:top="1418" w:right="1474" w:bottom="1361" w:left="1588" w:header="567" w:footer="794"/>
      <w:pgNumType w:start="2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宋体">
    <w:charset w:val="00"/>
    <w:family w:val="roman"/>
    <w:pitch w:val="default"/>
  </w:font>
  <w:font w:name="華康儷中黑">
    <w:charset w:val="00"/>
    <w:family w:val="roman"/>
    <w:pitch w:val="default"/>
  </w:font>
  <w:font w:name="Cambria">
    <w:charset w:val="00"/>
    <w:family w:val="roman"/>
    <w:pitch w:val="default"/>
  </w:font>
  <w:font w:name="黑体">
    <w:charset w:val="00"/>
    <w:family w:val="roman"/>
    <w:pitch w:val="default"/>
  </w:font>
  <w:font w:name="仿宋">
    <w:charset w:val="00"/>
    <w:family w:val="roman"/>
    <w:pitch w:val="default"/>
  </w:font>
  <w:font w:name="Helvetica Neue">
    <w:charset w:val="00"/>
    <w:family w:val="roman"/>
    <w:pitch w:val="default"/>
  </w:font>
  <w:font w:name="PMingLiU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rFonts w:ascii="Cambria" w:cs="Cambria" w:hAnsi="Cambria" w:eastAsia="Cambria"/>
        <w:outline w:val="0"/>
        <w:color w:val="ffffff"/>
        <w:sz w:val="26"/>
        <w:szCs w:val="26"/>
        <w:u w:color="ffffff"/>
        <w14:textFill>
          <w14:solidFill>
            <w14:srgbClr w14:val="FFFFFF"/>
          </w14:solidFill>
        </w14:textFill>
      </w:rPr>
    </w:pPr>
    <w:r>
      <w:rPr>
        <w:rFonts w:ascii="華康儷中黑" w:cs="華康儷中黑" w:hAnsi="華康儷中黑" w:eastAsia="華康儷中黑"/>
        <w:outline w:val="0"/>
        <w:color w:val="ffffff"/>
        <w:sz w:val="26"/>
        <w:szCs w:val="26"/>
        <w:u w:color="ffffff"/>
        <w:rtl w:val="0"/>
        <w:lang w:val="zh-TW" w:eastAsia="zh-TW"/>
        <w14:textFill>
          <w14:solidFill>
            <w14:srgbClr w14:val="FFFFFF"/>
          </w14:solidFill>
        </w14:textFill>
      </w:rPr>
      <w:t>第</w:t>
    </w:r>
    <w:r>
      <w:rPr>
        <w:rFonts w:ascii="Cambria" w:cs="Cambria" w:hAnsi="Cambria" w:eastAsia="Cambria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  <w:fldChar w:fldCharType="begin" w:fldLock="0"/>
    </w:r>
    <w:r>
      <w:rPr>
        <w:rFonts w:ascii="Cambria" w:cs="Cambria" w:hAnsi="Cambria" w:eastAsia="Cambria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  <w:instrText xml:space="preserve"> PAGE </w:instrText>
    </w:r>
    <w:r>
      <w:rPr>
        <w:rFonts w:ascii="Cambria" w:cs="Cambria" w:hAnsi="Cambria" w:eastAsia="Cambria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  <w:fldChar w:fldCharType="separate" w:fldLock="0"/>
    </w:r>
    <w:r>
      <w:rPr>
        <w:rFonts w:ascii="Cambria" w:cs="Cambria" w:hAnsi="Cambria" w:eastAsia="Cambria"/>
        <w:outline w:val="0"/>
        <w:color w:val="ffffff"/>
        <w:sz w:val="26"/>
        <w:szCs w:val="26"/>
        <w:u w:color="ffffff"/>
        <w:lang w:val="en-US"/>
        <w14:textFill>
          <w14:solidFill>
            <w14:srgbClr w14:val="FFFFFF"/>
          </w14:solidFill>
        </w14:textFill>
      </w:rPr>
      <w:fldChar w:fldCharType="end" w:fldLock="0"/>
    </w:r>
    <w:r>
      <w:rPr>
        <w:rFonts w:ascii="華康儷中黑" w:cs="華康儷中黑" w:hAnsi="華康儷中黑" w:eastAsia="華康儷中黑"/>
        <w:outline w:val="0"/>
        <w:color w:val="ffffff"/>
        <w:sz w:val="26"/>
        <w:szCs w:val="26"/>
        <w:u w:color="ffffff"/>
        <w:rtl w:val="0"/>
        <w:lang w:val="zh-TW" w:eastAsia="zh-TW"/>
        <w14:textFill>
          <w14:solidFill>
            <w14:srgbClr w14:val="FFFFFF"/>
          </w14:solidFill>
        </w14:textFill>
      </w:rPr>
      <w:t>頁</w:t>
    </w:r>
  </w:p>
  <w:p>
    <w:pPr>
      <w:pStyle w:val="Normal.0"/>
      <w:spacing w:before="120" w:after="120"/>
      <w:jc w:val="both"/>
    </w:pPr>
    <w:r>
      <w:rPr>
        <w:rFonts w:ascii="宋体" w:cs="宋体" w:hAnsi="宋体" w:eastAsia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359409</wp:posOffset>
              </wp:positionV>
              <wp:extent cx="2635250" cy="280671"/>
              <wp:effectExtent l="0" t="0" r="0" b="0"/>
              <wp:wrapNone/>
              <wp:docPr id="1073741826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宋体" w:cs="宋体" w:hAnsi="宋体" w:eastAsia="宋体"/>
                              <w:spacing w:val="0"/>
                              <w:rtl w:val="0"/>
                              <w:lang w:val="en-US"/>
                            </w:rPr>
                            <w:t>SJQU-QR-JW-011</w:t>
                          </w:r>
                          <w:r>
                            <w:rPr>
                              <w:rFonts w:ascii="宋体" w:cs="宋体" w:hAnsi="宋体" w:eastAsia="宋体"/>
                              <w:spacing w:val="0"/>
                              <w:rtl w:val="0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cs="宋体" w:hAnsi="宋体" w:eastAsia="宋体"/>
                              <w:spacing w:val="0"/>
                              <w:rtl w:val="0"/>
                              <w:lang w:val="en-US"/>
                            </w:rPr>
                            <w:t>A0</w:t>
                          </w:r>
                          <w:r>
                            <w:rPr>
                              <w:rFonts w:ascii="宋体" w:cs="宋体" w:hAnsi="宋体" w:eastAsia="宋体"/>
                              <w:spacing w:val="0"/>
                              <w:rtl w:val="0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2.5pt;margin-top:28.3pt;width:207.5pt;height:22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rPr>
                        <w:rFonts w:ascii="宋体" w:cs="宋体" w:hAnsi="宋体" w:eastAsia="宋体"/>
                        <w:spacing w:val="0"/>
                        <w:rtl w:val="0"/>
                        <w:lang w:val="en-US"/>
                      </w:rPr>
                      <w:t>SJQU-QR-JW-011</w:t>
                    </w:r>
                    <w:r>
                      <w:rPr>
                        <w:rFonts w:ascii="宋体" w:cs="宋体" w:hAnsi="宋体" w:eastAsia="宋体"/>
                        <w:spacing w:val="0"/>
                        <w:rtl w:val="0"/>
                        <w:lang w:val="zh-TW" w:eastAsia="zh-TW"/>
                      </w:rPr>
                      <w:t>（</w:t>
                    </w:r>
                    <w:r>
                      <w:rPr>
                        <w:rFonts w:ascii="宋体" w:cs="宋体" w:hAnsi="宋体" w:eastAsia="宋体"/>
                        <w:spacing w:val="0"/>
                        <w:rtl w:val="0"/>
                        <w:lang w:val="en-US"/>
                      </w:rPr>
                      <w:t>A0</w:t>
                    </w:r>
                    <w:r>
                      <w:rPr>
                        <w:rFonts w:ascii="宋体" w:cs="宋体" w:hAnsi="宋体" w:eastAsia="宋体"/>
                        <w:spacing w:val="0"/>
                        <w:rtl w:val="0"/>
                        <w:lang w:val="zh-TW" w:eastAsia="zh-TW"/>
                      </w:rPr>
                      <w:t>）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