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2030225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哲学导论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宋军朋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050" w:firstLineChars="5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17036@gench.edu.cn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新闻学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17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-1、2</w:t>
            </w:r>
          </w:p>
          <w:p>
            <w:pPr>
              <w:tabs>
                <w:tab w:val="left" w:pos="532"/>
              </w:tabs>
              <w:spacing w:line="340" w:lineRule="exact"/>
              <w:ind w:firstLine="210" w:firstLineChars="100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新闻学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6-1、2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第一、二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节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地点: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秘书系办公室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07室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电话：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13917973990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《哲学导论》（修订本），沈湘平，中国社会科学出版社，201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1.《哲学导论》，王德峰，复旦大学出版社，2014年6月第1版。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2.《哲学导论》，潘德荣，华东师范大学出版社，2016年6月第1版。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3.《哲学导论》（第三版），张世英著， 北京大学出版社，2016年5月。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4.《哲学通论》，孙正聿，复旦大学出版社，2006年8月第1版。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464"/>
        <w:gridCol w:w="278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绪论：哲学导论的功用和学习要求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哲学的起源、定义和本质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哲学的特点（表达方式、方法、独特品质）和文化价值意义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东西方哲学传统和史略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课堂小测验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哲学的基本问题、派别和学科领域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世界观和本体论（一）：本体论的历史与流变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世界观和本体论（二）：本体论的现代趋向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知识论和认识论（一）：真理观和检验标准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文献综述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知识论和认识论（二）：认识论的现代走向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历史观和历史哲学（一）：历史哲学的历史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历史观和历史哲学（二）：历史哲学的新进展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价值观和哲学价值论（一）：一般理论和主要领域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读书报告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价值观和哲学价值论（二）：前沿问题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人性论与人的哲学（一）：人性论的哲学史和人的本质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人性论与人的哲学（二）意义：自我认同和人生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260" w:firstLineChars="600"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随堂考试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开卷考试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eastAsia="zh-CN"/>
              </w:rPr>
              <w:t>期末开卷考试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（X1）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eastAsia="zh-CN"/>
              </w:rPr>
              <w:t>课堂小测验（一次）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（X2）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eastAsia="zh-CN"/>
              </w:rPr>
              <w:t>文献综述（一篇）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（X2）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eastAsia="zh-CN"/>
              </w:rPr>
              <w:t>读书报告（一篇）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华文行楷" w:hAnsi="华文行楷" w:eastAsia="华文行楷" w:cs="华文行楷"/>
          <w:color w:val="000000"/>
          <w:position w:val="-20"/>
          <w:sz w:val="32"/>
          <w:szCs w:val="32"/>
          <w:lang w:eastAsia="zh-CN"/>
        </w:rPr>
        <w:t>宋军朋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签名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马玉瑛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2018.9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1B2372"/>
    <w:rsid w:val="0B02141F"/>
    <w:rsid w:val="0DB76A4A"/>
    <w:rsid w:val="17A62209"/>
    <w:rsid w:val="199D2E85"/>
    <w:rsid w:val="1B9B294B"/>
    <w:rsid w:val="2E59298A"/>
    <w:rsid w:val="33037BDC"/>
    <w:rsid w:val="37E50B00"/>
    <w:rsid w:val="3D7862EC"/>
    <w:rsid w:val="3F9B5208"/>
    <w:rsid w:val="44C36ABE"/>
    <w:rsid w:val="49DF08B3"/>
    <w:rsid w:val="4D7507F1"/>
    <w:rsid w:val="519707A9"/>
    <w:rsid w:val="58F37607"/>
    <w:rsid w:val="5A1C1494"/>
    <w:rsid w:val="65310993"/>
    <w:rsid w:val="67FE3D2B"/>
    <w:rsid w:val="6AFD245A"/>
    <w:rsid w:val="6E256335"/>
    <w:rsid w:val="700912C5"/>
    <w:rsid w:val="73D8482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4</TotalTime>
  <ScaleCrop>false</ScaleCrop>
  <LinksUpToDate>false</LinksUpToDate>
  <CharactersWithSpaces>1208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2018-08-31T14:07:26Z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