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bookmarkStart w:id="1" w:name="_GoBack"/>
      <w:bookmarkEnd w:id="1"/>
      <w:r>
        <w:rPr>
          <w:rFonts w:hint="eastAsia" w:ascii="方正小标宋简体" w:hAnsi="宋体" w:eastAsia="方正小标宋简体"/>
          <w:bCs/>
          <w:kern w:val="0"/>
          <w:sz w:val="40"/>
          <w:szCs w:val="40"/>
        </w:rPr>
        <w:pict>
          <v:shape id="文本框 1" o:spid="_x0000_s1027"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【中外文学导读】</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Chinese and foreign literature guide</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413" w:firstLineChars="196"/>
        <w:rPr>
          <w:color w:val="000000"/>
          <w:szCs w:val="21"/>
        </w:rPr>
      </w:pPr>
      <w:r>
        <w:rPr>
          <w:b/>
          <w:bCs/>
          <w:color w:val="000000"/>
          <w:szCs w:val="21"/>
        </w:rPr>
        <w:t>课程代码：</w:t>
      </w:r>
      <w:r>
        <w:rPr>
          <w:color w:val="000000"/>
          <w:szCs w:val="21"/>
        </w:rPr>
        <w:t>【</w:t>
      </w:r>
      <w:r>
        <w:rPr>
          <w:rFonts w:hint="eastAsia"/>
          <w:color w:val="000000"/>
          <w:szCs w:val="21"/>
        </w:rPr>
        <w:t>2</w:t>
      </w:r>
      <w:r>
        <w:rPr>
          <w:rFonts w:hint="eastAsia"/>
          <w:szCs w:val="21"/>
        </w:rPr>
        <w:t>030416</w:t>
      </w:r>
      <w:r>
        <w:rPr>
          <w:color w:val="000000"/>
          <w:szCs w:val="21"/>
        </w:rPr>
        <w:t>】</w:t>
      </w:r>
    </w:p>
    <w:p>
      <w:pPr>
        <w:snapToGrid w:val="0"/>
        <w:spacing w:line="288" w:lineRule="auto"/>
        <w:ind w:firstLine="413" w:firstLineChars="196"/>
        <w:rPr>
          <w:color w:val="000000"/>
          <w:szCs w:val="21"/>
        </w:rPr>
      </w:pPr>
      <w:r>
        <w:rPr>
          <w:b/>
          <w:bCs/>
          <w:color w:val="000000"/>
          <w:szCs w:val="21"/>
        </w:rPr>
        <w:t>课程学分：</w:t>
      </w:r>
      <w:r>
        <w:rPr>
          <w:color w:val="000000"/>
          <w:szCs w:val="21"/>
        </w:rPr>
        <w:t>【</w:t>
      </w:r>
      <w:r>
        <w:rPr>
          <w:rFonts w:hint="eastAsia"/>
          <w:color w:val="000000"/>
          <w:szCs w:val="21"/>
        </w:rPr>
        <w:t>2学分</w:t>
      </w:r>
      <w:r>
        <w:rPr>
          <w:color w:val="000000"/>
          <w:szCs w:val="21"/>
        </w:rPr>
        <w:t>】</w:t>
      </w:r>
    </w:p>
    <w:p>
      <w:pPr>
        <w:snapToGrid w:val="0"/>
        <w:spacing w:line="288" w:lineRule="auto"/>
        <w:ind w:firstLine="413" w:firstLineChars="196"/>
        <w:rPr>
          <w:color w:val="000000"/>
          <w:szCs w:val="21"/>
        </w:rPr>
      </w:pPr>
      <w:r>
        <w:rPr>
          <w:b/>
          <w:bCs/>
          <w:color w:val="000000"/>
          <w:szCs w:val="21"/>
        </w:rPr>
        <w:t>面向专业：</w:t>
      </w:r>
      <w:r>
        <w:rPr>
          <w:color w:val="000000"/>
          <w:szCs w:val="21"/>
        </w:rPr>
        <w:t>【</w:t>
      </w:r>
      <w:r>
        <w:rPr>
          <w:rFonts w:hint="eastAsia"/>
          <w:color w:val="000000"/>
          <w:szCs w:val="21"/>
        </w:rPr>
        <w:t>新闻学 传播学 秘书学 广告学</w:t>
      </w:r>
      <w:r>
        <w:rPr>
          <w:color w:val="000000"/>
          <w:szCs w:val="21"/>
        </w:rPr>
        <w:t>】</w:t>
      </w:r>
    </w:p>
    <w:p>
      <w:pPr>
        <w:snapToGrid w:val="0"/>
        <w:spacing w:line="288" w:lineRule="auto"/>
        <w:ind w:firstLine="413" w:firstLineChars="196"/>
        <w:rPr>
          <w:color w:val="000000"/>
          <w:szCs w:val="21"/>
        </w:rPr>
      </w:pPr>
      <w:r>
        <w:rPr>
          <w:b/>
          <w:bCs/>
          <w:color w:val="000000"/>
          <w:szCs w:val="21"/>
        </w:rPr>
        <w:t>课程性质：</w:t>
      </w:r>
      <w:r>
        <w:rPr>
          <w:color w:val="000000"/>
          <w:szCs w:val="21"/>
        </w:rPr>
        <w:t>【</w:t>
      </w:r>
      <w:r>
        <w:rPr>
          <w:rFonts w:hint="eastAsia"/>
          <w:color w:val="000000"/>
          <w:szCs w:val="21"/>
        </w:rPr>
        <w:t>必修课</w:t>
      </w:r>
      <w:r>
        <w:rPr>
          <w:color w:val="000000"/>
          <w:szCs w:val="21"/>
        </w:rPr>
        <w:t>】</w:t>
      </w:r>
    </w:p>
    <w:p>
      <w:pPr>
        <w:snapToGrid w:val="0"/>
        <w:spacing w:line="288" w:lineRule="auto"/>
        <w:ind w:firstLine="413" w:firstLineChars="196"/>
        <w:rPr>
          <w:color w:val="000000"/>
          <w:szCs w:val="21"/>
        </w:rPr>
      </w:pPr>
      <w:r>
        <w:rPr>
          <w:b/>
          <w:bCs/>
          <w:color w:val="000000"/>
          <w:szCs w:val="21"/>
        </w:rPr>
        <w:t>开课院系：</w:t>
      </w:r>
      <w:r>
        <w:rPr>
          <w:rFonts w:hint="eastAsia"/>
          <w:b/>
          <w:bCs/>
          <w:color w:val="000000"/>
          <w:szCs w:val="21"/>
        </w:rPr>
        <w:t>【</w:t>
      </w:r>
      <w:r>
        <w:rPr>
          <w:rFonts w:hint="eastAsia"/>
          <w:color w:val="000000"/>
          <w:szCs w:val="21"/>
        </w:rPr>
        <w:t>新闻传播学院】</w:t>
      </w:r>
    </w:p>
    <w:p>
      <w:pPr>
        <w:snapToGrid w:val="0"/>
        <w:spacing w:line="288" w:lineRule="auto"/>
        <w:ind w:left="2309" w:leftChars="196" w:hanging="1897" w:hangingChars="900"/>
        <w:rPr>
          <w:b/>
          <w:bCs/>
          <w:color w:val="000000"/>
          <w:szCs w:val="21"/>
        </w:rPr>
      </w:pPr>
      <w:r>
        <w:rPr>
          <w:b/>
          <w:bCs/>
          <w:color w:val="000000"/>
          <w:szCs w:val="21"/>
        </w:rPr>
        <w:t>使用教材：</w:t>
      </w:r>
    </w:p>
    <w:p>
      <w:pPr>
        <w:snapToGrid w:val="0"/>
        <w:spacing w:line="288" w:lineRule="auto"/>
        <w:ind w:left="2302" w:leftChars="196" w:hanging="1890" w:hangingChars="900"/>
        <w:rPr>
          <w:bCs/>
          <w:color w:val="000000"/>
          <w:szCs w:val="21"/>
        </w:rPr>
      </w:pPr>
      <w:r>
        <w:rPr>
          <w:rFonts w:hint="eastAsia"/>
          <w:bCs/>
          <w:color w:val="000000"/>
          <w:szCs w:val="21"/>
        </w:rPr>
        <w:t>【《中外文学精品导读》，王振军 宋向阳主编，中国广播影视出版社，2016年9月版】</w:t>
      </w:r>
    </w:p>
    <w:p>
      <w:pPr>
        <w:snapToGrid w:val="0"/>
        <w:spacing w:line="288" w:lineRule="auto"/>
        <w:ind w:left="2309" w:leftChars="196" w:hanging="1897" w:hangingChars="900"/>
        <w:rPr>
          <w:b/>
          <w:bCs/>
          <w:color w:val="000000"/>
          <w:szCs w:val="21"/>
        </w:rPr>
      </w:pPr>
      <w:r>
        <w:rPr>
          <w:rFonts w:hint="eastAsia"/>
          <w:b/>
          <w:bCs/>
          <w:color w:val="000000"/>
          <w:szCs w:val="21"/>
        </w:rPr>
        <w:t>参考教材：</w:t>
      </w:r>
    </w:p>
    <w:p>
      <w:pPr>
        <w:snapToGrid w:val="0"/>
        <w:spacing w:line="288" w:lineRule="auto"/>
        <w:ind w:left="2302" w:leftChars="196" w:hanging="1890" w:hangingChars="900"/>
        <w:rPr>
          <w:bCs/>
          <w:color w:val="000000"/>
          <w:szCs w:val="21"/>
        </w:rPr>
      </w:pPr>
      <w:r>
        <w:rPr>
          <w:rFonts w:hint="eastAsia"/>
          <w:bCs/>
          <w:color w:val="000000"/>
          <w:szCs w:val="21"/>
        </w:rPr>
        <w:t>【《中国文学简史》，林庚著，清华大学出版社，2007年版】</w:t>
      </w:r>
    </w:p>
    <w:p>
      <w:pPr>
        <w:snapToGrid w:val="0"/>
        <w:spacing w:line="288" w:lineRule="auto"/>
        <w:ind w:left="2302" w:leftChars="196" w:hanging="1890" w:hangingChars="900"/>
        <w:rPr>
          <w:bCs/>
          <w:color w:val="000000"/>
          <w:szCs w:val="21"/>
        </w:rPr>
      </w:pPr>
      <w:r>
        <w:rPr>
          <w:rFonts w:hint="eastAsia"/>
          <w:bCs/>
          <w:color w:val="000000"/>
          <w:szCs w:val="21"/>
        </w:rPr>
        <w:t>【《中国文学史新著（增订本）》，章培恒、骆玉明主编，复旦大学出版社，2015年版】</w:t>
      </w:r>
    </w:p>
    <w:p>
      <w:pPr>
        <w:snapToGrid w:val="0"/>
        <w:spacing w:line="288" w:lineRule="auto"/>
        <w:ind w:left="2302" w:leftChars="196" w:hanging="1890" w:hangingChars="900"/>
        <w:rPr>
          <w:bCs/>
          <w:color w:val="000000"/>
          <w:szCs w:val="21"/>
        </w:rPr>
      </w:pPr>
      <w:r>
        <w:rPr>
          <w:rFonts w:hint="eastAsia"/>
          <w:bCs/>
          <w:color w:val="000000"/>
          <w:szCs w:val="21"/>
        </w:rPr>
        <w:t>【《简明中国文学史》，骆玉明著，复旦大学出版社，2004年版】</w:t>
      </w:r>
    </w:p>
    <w:p>
      <w:pPr>
        <w:snapToGrid w:val="0"/>
        <w:spacing w:line="288" w:lineRule="auto"/>
        <w:ind w:left="2302" w:leftChars="196" w:hanging="1890" w:hangingChars="900"/>
        <w:rPr>
          <w:bCs/>
          <w:color w:val="000000"/>
          <w:szCs w:val="21"/>
        </w:rPr>
      </w:pPr>
      <w:r>
        <w:rPr>
          <w:rFonts w:hint="eastAsia"/>
          <w:bCs/>
          <w:color w:val="000000"/>
          <w:szCs w:val="21"/>
        </w:rPr>
        <w:t>【《中国现代文学三十年》，钱理群、温儒敏、吴福辉著，北京大学出版社，1998年版】</w:t>
      </w:r>
    </w:p>
    <w:p>
      <w:pPr>
        <w:snapToGrid w:val="0"/>
        <w:spacing w:line="288" w:lineRule="auto"/>
        <w:ind w:left="2302" w:leftChars="196" w:hanging="1890" w:hangingChars="900"/>
        <w:rPr>
          <w:bCs/>
          <w:color w:val="000000"/>
          <w:szCs w:val="21"/>
        </w:rPr>
      </w:pPr>
      <w:r>
        <w:rPr>
          <w:rFonts w:hint="eastAsia"/>
          <w:bCs/>
          <w:color w:val="000000"/>
          <w:szCs w:val="21"/>
        </w:rPr>
        <w:t>【《中国当代文学史教程》，陈思和主编，复旦大学出版社，2008年版】</w:t>
      </w:r>
    </w:p>
    <w:p>
      <w:pPr>
        <w:snapToGrid w:val="0"/>
        <w:spacing w:line="288" w:lineRule="auto"/>
        <w:ind w:left="2302" w:leftChars="196" w:hanging="1890" w:hangingChars="900"/>
        <w:rPr>
          <w:bCs/>
          <w:color w:val="000000"/>
          <w:szCs w:val="21"/>
        </w:rPr>
      </w:pPr>
      <w:r>
        <w:rPr>
          <w:rFonts w:hint="eastAsia"/>
          <w:bCs/>
          <w:color w:val="000000"/>
          <w:szCs w:val="21"/>
        </w:rPr>
        <w:t>【《外国文学名著选读》，梁坤主编，中国人民大学出版社，2014年1月第3版】</w:t>
      </w:r>
    </w:p>
    <w:p>
      <w:pPr>
        <w:snapToGrid w:val="0"/>
        <w:spacing w:line="288" w:lineRule="auto"/>
        <w:ind w:left="2302" w:leftChars="196" w:hanging="1890" w:hangingChars="900"/>
        <w:rPr>
          <w:bCs/>
          <w:color w:val="000000"/>
          <w:szCs w:val="21"/>
        </w:rPr>
      </w:pPr>
      <w:r>
        <w:rPr>
          <w:rFonts w:hint="eastAsia"/>
          <w:bCs/>
          <w:color w:val="000000"/>
          <w:szCs w:val="21"/>
        </w:rPr>
        <w:t>【《外国文学史新编》，陈建华主编，高等教育出版社，2013年版】</w:t>
      </w:r>
    </w:p>
    <w:p>
      <w:pPr>
        <w:snapToGrid w:val="0"/>
        <w:spacing w:line="288" w:lineRule="auto"/>
        <w:ind w:firstLine="422" w:firstLineChars="200"/>
        <w:rPr>
          <w:b/>
          <w:bCs/>
          <w:szCs w:val="21"/>
        </w:rPr>
      </w:pPr>
      <w:r>
        <w:rPr>
          <w:rFonts w:hint="eastAsia"/>
          <w:b/>
          <w:bCs/>
          <w:szCs w:val="21"/>
        </w:rPr>
        <w:t xml:space="preserve">课程网站网址： </w:t>
      </w:r>
    </w:p>
    <w:p>
      <w:pPr>
        <w:snapToGrid w:val="0"/>
        <w:spacing w:line="288" w:lineRule="auto"/>
        <w:ind w:firstLine="422" w:firstLineChars="200"/>
        <w:rPr>
          <w:b/>
          <w:bCs/>
          <w:szCs w:val="21"/>
        </w:rPr>
      </w:pPr>
      <w:r>
        <w:rPr>
          <w:b/>
          <w:bCs/>
          <w:szCs w:val="21"/>
        </w:rPr>
        <w:t>https://mooc1.chaoxing.com/course-ans/courseportal/226542727.html</w:t>
      </w:r>
    </w:p>
    <w:p>
      <w:pPr>
        <w:adjustRightInd w:val="0"/>
        <w:snapToGrid w:val="0"/>
        <w:spacing w:line="288" w:lineRule="auto"/>
        <w:ind w:firstLine="413" w:firstLineChars="196"/>
        <w:rPr>
          <w:rFonts w:hint="eastAsia"/>
          <w:color w:val="000000"/>
          <w:szCs w:val="21"/>
        </w:rPr>
      </w:pPr>
      <w:r>
        <w:rPr>
          <w:b/>
          <w:bCs/>
          <w:color w:val="000000"/>
          <w:szCs w:val="21"/>
        </w:rPr>
        <w:t>先修课程：</w:t>
      </w:r>
      <w:r>
        <w:rPr>
          <w:color w:val="000000"/>
          <w:szCs w:val="21"/>
        </w:rPr>
        <w:t>【</w:t>
      </w:r>
      <w:r>
        <w:rPr>
          <w:rFonts w:hint="eastAsia"/>
          <w:color w:val="000000"/>
          <w:szCs w:val="21"/>
        </w:rPr>
        <w:t>无</w:t>
      </w:r>
      <w:r>
        <w:rPr>
          <w:color w:val="000000"/>
          <w:szCs w:val="21"/>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20" w:firstLineChars="200"/>
        <w:rPr>
          <w:bCs/>
          <w:color w:val="000000"/>
          <w:szCs w:val="21"/>
        </w:rPr>
      </w:pPr>
      <w:r>
        <w:rPr>
          <w:rFonts w:hint="eastAsia"/>
          <w:bCs/>
          <w:color w:val="000000"/>
          <w:szCs w:val="21"/>
        </w:rPr>
        <w:t>中外文学源远流长，博大精深。学习中外文学中的经典作品，可以加强学生的人文素养，培养学生的人文精神，并从基础的角度有效提高新闻传播类、文化类应用型人才的核心能力，促使其具有较好的思想水平和文化涵养、较高的情商。本课程选取中外古代文学史、现当代文学史上，诗歌、散文、小说、戏剧四大文学体裁中的经典篇目，大致以作品产生时代为序进行导读。以作品文本的细读为中心，在生动解读文本的基础上，诠释背景、串联古今，拓展学生的社会历史文化视野，将文学作品跟相关图像、影视及其他艺术形态作出比较、联系，并引导学生诵读作品、讨论、撰写相关的读书笔记等，引导学生热爱祖国传统文化，理解其他国家历史文化。</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20" w:firstLineChars="200"/>
        <w:rPr>
          <w:bCs/>
          <w:color w:val="000000"/>
          <w:szCs w:val="21"/>
        </w:rPr>
      </w:pPr>
      <w:r>
        <w:rPr>
          <w:rFonts w:hint="eastAsia"/>
          <w:bCs/>
          <w:color w:val="000000"/>
          <w:szCs w:val="21"/>
        </w:rPr>
        <w:t>本课程适合秘书学、新闻学、传播学、广告学专业的一、二年级学生。</w:t>
      </w:r>
    </w:p>
    <w:p>
      <w:pPr>
        <w:snapToGrid w:val="0"/>
        <w:spacing w:line="288" w:lineRule="auto"/>
        <w:ind w:firstLine="420" w:firstLineChars="200"/>
        <w:rPr>
          <w:bCs/>
          <w:color w:val="000000"/>
          <w:szCs w:val="21"/>
        </w:rPr>
      </w:pPr>
    </w:p>
    <w:p>
      <w:pPr>
        <w:snapToGrid w:val="0"/>
        <w:spacing w:line="288" w:lineRule="auto"/>
        <w:ind w:firstLine="420" w:firstLineChars="200"/>
        <w:rPr>
          <w:bCs/>
          <w:color w:val="000000"/>
          <w:szCs w:val="21"/>
        </w:rPr>
      </w:pPr>
    </w:p>
    <w:p>
      <w:pPr>
        <w:snapToGrid w:val="0"/>
        <w:spacing w:line="288" w:lineRule="auto"/>
        <w:ind w:firstLine="400" w:firstLineChars="200"/>
        <w:rPr>
          <w:rFonts w:hint="eastAsia"/>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6"/>
        <w:tblW w:w="8429" w:type="dxa"/>
        <w:tblInd w:w="93" w:type="dxa"/>
        <w:tblLayout w:type="fixed"/>
        <w:tblCellMar>
          <w:top w:w="0" w:type="dxa"/>
          <w:left w:w="108" w:type="dxa"/>
          <w:bottom w:w="0" w:type="dxa"/>
          <w:right w:w="108" w:type="dxa"/>
        </w:tblCellMar>
      </w:tblPr>
      <w:tblGrid>
        <w:gridCol w:w="700"/>
        <w:gridCol w:w="1129"/>
        <w:gridCol w:w="5525"/>
        <w:gridCol w:w="1075"/>
      </w:tblGrid>
      <w:tr>
        <w:tblPrEx>
          <w:tblCellMar>
            <w:top w:w="0" w:type="dxa"/>
            <w:left w:w="108" w:type="dxa"/>
            <w:bottom w:w="0" w:type="dxa"/>
            <w:right w:w="108" w:type="dxa"/>
          </w:tblCellMar>
        </w:tblPrEx>
        <w:trPr>
          <w:trHeight w:val="510" w:hRule="atLeast"/>
        </w:trPr>
        <w:tc>
          <w:tcPr>
            <w:tcW w:w="7354" w:type="dxa"/>
            <w:gridSpan w:val="3"/>
            <w:tcBorders>
              <w:top w:val="single" w:color="auto" w:sz="4" w:space="0"/>
              <w:left w:val="single" w:color="auto" w:sz="4" w:space="0"/>
              <w:bottom w:val="single" w:color="000000" w:sz="4" w:space="0"/>
              <w:right w:val="single" w:color="auto" w:sz="4" w:space="0"/>
            </w:tcBorders>
          </w:tcPr>
          <w:p>
            <w:pPr>
              <w:spacing w:line="360" w:lineRule="auto"/>
              <w:jc w:val="center"/>
              <w:rPr>
                <w:rFonts w:ascii="宋体" w:hAnsi="宋体" w:cs="宋体"/>
                <w:color w:val="000000"/>
                <w:kern w:val="0"/>
                <w:sz w:val="20"/>
                <w:szCs w:val="20"/>
              </w:rPr>
            </w:pPr>
            <w:r>
              <w:rPr>
                <w:rFonts w:hint="eastAsia" w:ascii="黑体" w:hAnsi="黑体" w:eastAsia="黑体" w:cs="黑体"/>
                <w:kern w:val="0"/>
                <w:sz w:val="20"/>
                <w:szCs w:val="20"/>
              </w:rPr>
              <w:t xml:space="preserve">          专业毕业要求</w:t>
            </w:r>
          </w:p>
        </w:tc>
        <w:tc>
          <w:tcPr>
            <w:tcW w:w="1075" w:type="dxa"/>
            <w:tcBorders>
              <w:top w:val="single" w:color="auto" w:sz="4" w:space="0"/>
              <w:left w:val="single" w:color="auto" w:sz="4" w:space="0"/>
              <w:bottom w:val="single" w:color="auto" w:sz="4" w:space="0"/>
              <w:right w:val="single" w:color="auto" w:sz="4" w:space="0"/>
            </w:tcBorders>
          </w:tcPr>
          <w:p>
            <w:pPr>
              <w:spacing w:line="360" w:lineRule="auto"/>
              <w:ind w:firstLine="200" w:firstLineChars="100"/>
              <w:rPr>
                <w:rFonts w:ascii="Arial" w:hAnsi="Arial" w:cs="Arial"/>
                <w:color w:val="000000"/>
                <w:sz w:val="40"/>
                <w:szCs w:val="40"/>
              </w:rPr>
            </w:pPr>
            <w:r>
              <w:rPr>
                <w:rFonts w:hint="eastAsia" w:ascii="黑体" w:hAnsi="黑体" w:eastAsia="黑体" w:cs="黑体"/>
                <w:kern w:val="0"/>
                <w:sz w:val="20"/>
                <w:szCs w:val="20"/>
              </w:rPr>
              <w:t>关联</w:t>
            </w: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L011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2"/>
              </w:rPr>
              <w:t>LO112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Theme="minorEastAsia" w:hAnsiTheme="minorEastAsia" w:eastAsiaTheme="minorEastAsia" w:cstheme="minorEastAsia"/>
                <w:color w:val="000000"/>
                <w:kern w:val="0"/>
                <w:szCs w:val="21"/>
              </w:rPr>
              <w:t>应用书面或口头形式，阐述自己的观点，有效沟通。</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宋体" w:hAnsi="宋体" w:cs="宋体"/>
                <w:color w:val="000000"/>
                <w:kern w:val="0"/>
                <w:sz w:val="20"/>
                <w:szCs w:val="20"/>
              </w:rPr>
            </w:pPr>
            <w:r>
              <w:rPr>
                <w:rFonts w:ascii="Arial" w:hAnsi="Arial" w:cs="Arial"/>
                <w:color w:val="000000"/>
                <w:sz w:val="40"/>
                <w:szCs w:val="40"/>
              </w:rPr>
              <w:t>●</w:t>
            </w: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LO71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r>
              <w:rPr>
                <w:rFonts w:ascii="宋体" w:hAnsi="宋体" w:cs="宋体"/>
                <w:color w:val="000000"/>
                <w:kern w:val="0"/>
                <w:sz w:val="22"/>
              </w:rPr>
              <w:t>LO711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Theme="minorEastAsia" w:hAnsiTheme="minorEastAsia" w:eastAsiaTheme="minorEastAsia" w:cstheme="minorEastAsia"/>
                <w:color w:val="000000"/>
                <w:kern w:val="0"/>
                <w:szCs w:val="21"/>
              </w:rPr>
              <w:t>爱党爱国：了解祖国的优秀传统文化和革命历史，构建爱党爱国的理想信念。</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w:t>
            </w:r>
            <w:r>
              <w:rPr>
                <w:rFonts w:ascii="宋体" w:hAnsi="宋体" w:cs="宋体"/>
                <w:color w:val="000000"/>
                <w:kern w:val="0"/>
                <w:sz w:val="22"/>
              </w:rPr>
              <w:t>8</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L0812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Theme="minorEastAsia" w:hAnsiTheme="minorEastAsia" w:eastAsiaTheme="minorEastAsia" w:cstheme="minorEastAsia"/>
                <w:color w:val="000000"/>
                <w:kern w:val="0"/>
                <w:szCs w:val="21"/>
              </w:rPr>
              <w:t>理解其他国家历史文化，有跨文化交流能力。</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bl>
    <w:p>
      <w:pPr>
        <w:ind w:firstLine="420" w:firstLineChars="200"/>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p>
    <w:tbl>
      <w:tblPr>
        <w:tblStyle w:val="6"/>
        <w:tblW w:w="84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04"/>
        <w:gridCol w:w="3175"/>
        <w:gridCol w:w="193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napToGrid w:val="0"/>
              <w:spacing w:line="288" w:lineRule="auto"/>
              <w:jc w:val="center"/>
              <w:rPr>
                <w:b/>
                <w:color w:val="000000"/>
                <w:sz w:val="20"/>
                <w:szCs w:val="20"/>
              </w:rPr>
            </w:pPr>
            <w:r>
              <w:rPr>
                <w:rFonts w:hint="eastAsia"/>
                <w:b/>
                <w:color w:val="000000"/>
                <w:sz w:val="20"/>
                <w:szCs w:val="20"/>
              </w:rPr>
              <w:t>序号</w:t>
            </w:r>
          </w:p>
        </w:tc>
        <w:tc>
          <w:tcPr>
            <w:tcW w:w="1204" w:type="dxa"/>
          </w:tcPr>
          <w:p>
            <w:pPr>
              <w:snapToGrid w:val="0"/>
              <w:spacing w:line="288" w:lineRule="auto"/>
              <w:jc w:val="center"/>
              <w:rPr>
                <w:b/>
                <w:color w:val="000000"/>
                <w:sz w:val="20"/>
                <w:szCs w:val="20"/>
              </w:rPr>
            </w:pPr>
            <w:r>
              <w:rPr>
                <w:rFonts w:hint="eastAsia"/>
                <w:b/>
                <w:color w:val="000000"/>
                <w:sz w:val="20"/>
                <w:szCs w:val="20"/>
              </w:rPr>
              <w:t>课程预期学习成果</w:t>
            </w:r>
          </w:p>
        </w:tc>
        <w:tc>
          <w:tcPr>
            <w:tcW w:w="3175" w:type="dxa"/>
            <w:vAlign w:val="center"/>
          </w:tcPr>
          <w:p>
            <w:pPr>
              <w:snapToGrid w:val="0"/>
              <w:spacing w:line="288" w:lineRule="auto"/>
              <w:jc w:val="center"/>
              <w:rPr>
                <w:b/>
                <w:color w:val="000000"/>
                <w:sz w:val="20"/>
                <w:szCs w:val="20"/>
              </w:rPr>
            </w:pPr>
            <w:r>
              <w:rPr>
                <w:rFonts w:hint="eastAsia"/>
                <w:b/>
                <w:color w:val="000000"/>
                <w:sz w:val="20"/>
                <w:szCs w:val="20"/>
              </w:rPr>
              <w:t>课程目标</w:t>
            </w:r>
          </w:p>
        </w:tc>
        <w:tc>
          <w:tcPr>
            <w:tcW w:w="1934"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33"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napToGrid w:val="0"/>
              <w:spacing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04" w:type="dxa"/>
          </w:tcPr>
          <w:p>
            <w:pPr>
              <w:snapToGrid w:val="0"/>
              <w:spacing w:line="288" w:lineRule="auto"/>
              <w:jc w:val="center"/>
              <w:rPr>
                <w:rFonts w:asciiTheme="minorEastAsia" w:hAnsiTheme="minorEastAsia" w:eastAsiaTheme="minorEastAsia"/>
                <w:color w:val="000000"/>
                <w:sz w:val="24"/>
                <w:szCs w:val="24"/>
              </w:rPr>
            </w:pPr>
            <w:r>
              <w:rPr>
                <w:rStyle w:val="12"/>
                <w:rFonts w:hint="default" w:asciiTheme="minorEastAsia" w:hAnsiTheme="minorEastAsia" w:eastAsiaTheme="minorEastAsia"/>
                <w:sz w:val="24"/>
                <w:szCs w:val="24"/>
              </w:rPr>
              <w:t>LO112</w:t>
            </w:r>
          </w:p>
        </w:tc>
        <w:tc>
          <w:tcPr>
            <w:tcW w:w="3175" w:type="dxa"/>
          </w:tcPr>
          <w:p>
            <w:pPr>
              <w:snapToGrid w:val="0"/>
              <w:spacing w:line="288" w:lineRule="auto"/>
              <w:rPr>
                <w:color w:val="000000"/>
                <w:sz w:val="18"/>
                <w:szCs w:val="18"/>
              </w:rPr>
            </w:pPr>
            <w:r>
              <w:rPr>
                <w:rFonts w:hint="eastAsia"/>
                <w:color w:val="000000"/>
                <w:sz w:val="18"/>
                <w:szCs w:val="18"/>
              </w:rPr>
              <w:t>应用书面或口头形式，阐释自己的观点，有效沟通。</w:t>
            </w:r>
          </w:p>
        </w:tc>
        <w:tc>
          <w:tcPr>
            <w:tcW w:w="1934" w:type="dxa"/>
          </w:tcPr>
          <w:p>
            <w:pPr>
              <w:snapToGrid w:val="0"/>
              <w:spacing w:line="288" w:lineRule="auto"/>
              <w:rPr>
                <w:color w:val="000000"/>
                <w:sz w:val="18"/>
                <w:szCs w:val="18"/>
              </w:rPr>
            </w:pPr>
            <w:r>
              <w:rPr>
                <w:rFonts w:hint="eastAsia"/>
                <w:color w:val="000000"/>
                <w:sz w:val="18"/>
                <w:szCs w:val="18"/>
              </w:rPr>
              <w:t>课堂讲授、练习</w:t>
            </w:r>
          </w:p>
        </w:tc>
        <w:tc>
          <w:tcPr>
            <w:tcW w:w="1533" w:type="dxa"/>
          </w:tcPr>
          <w:p>
            <w:pPr>
              <w:snapToGrid w:val="0"/>
              <w:spacing w:line="288" w:lineRule="auto"/>
              <w:rPr>
                <w:color w:val="000000"/>
                <w:sz w:val="18"/>
                <w:szCs w:val="18"/>
              </w:rPr>
            </w:pPr>
            <w:r>
              <w:rPr>
                <w:rFonts w:hint="eastAsia"/>
                <w:color w:val="000000"/>
                <w:sz w:val="18"/>
                <w:szCs w:val="18"/>
              </w:rPr>
              <w:t>小说人物品评</w:t>
            </w:r>
          </w:p>
          <w:p>
            <w:pPr>
              <w:snapToGrid w:val="0"/>
              <w:spacing w:line="288" w:lineRule="auto"/>
              <w:rPr>
                <w:rFonts w:hint="eastAsia"/>
                <w:color w:val="000000"/>
                <w:sz w:val="18"/>
                <w:szCs w:val="18"/>
              </w:rPr>
            </w:pPr>
            <w:r>
              <w:rPr>
                <w:rFonts w:hint="eastAsia"/>
                <w:color w:val="000000"/>
                <w:sz w:val="18"/>
                <w:szCs w:val="18"/>
              </w:rPr>
              <w:t>小组文创设计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napToGrid w:val="0"/>
              <w:spacing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04" w:type="dxa"/>
          </w:tcPr>
          <w:p>
            <w:pPr>
              <w:snapToGrid w:val="0"/>
              <w:spacing w:line="288" w:lineRule="auto"/>
              <w:jc w:val="center"/>
              <w:rPr>
                <w:rFonts w:asciiTheme="minorEastAsia" w:hAnsiTheme="minorEastAsia" w:eastAsiaTheme="minorEastAsia"/>
                <w:color w:val="000000"/>
                <w:sz w:val="24"/>
                <w:szCs w:val="24"/>
              </w:rPr>
            </w:pPr>
            <w:r>
              <w:rPr>
                <w:rFonts w:hint="eastAsia" w:cs="宋体" w:asciiTheme="minorEastAsia" w:hAnsiTheme="minorEastAsia" w:eastAsiaTheme="minorEastAsia"/>
                <w:kern w:val="0"/>
                <w:sz w:val="24"/>
                <w:szCs w:val="24"/>
              </w:rPr>
              <w:t>LO711</w:t>
            </w:r>
          </w:p>
        </w:tc>
        <w:tc>
          <w:tcPr>
            <w:tcW w:w="3175" w:type="dxa"/>
          </w:tcPr>
          <w:p>
            <w:pPr>
              <w:snapToGrid w:val="0"/>
              <w:spacing w:line="288" w:lineRule="auto"/>
              <w:rPr>
                <w:color w:val="000000"/>
                <w:sz w:val="18"/>
                <w:szCs w:val="18"/>
              </w:rPr>
            </w:pPr>
            <w:r>
              <w:rPr>
                <w:rFonts w:hint="eastAsia"/>
                <w:color w:val="000000"/>
                <w:sz w:val="18"/>
                <w:szCs w:val="18"/>
              </w:rPr>
              <w:t>阅读中国文学名著，了解祖国的优秀传统文学文化，构建爱党爱国的理想信念。</w:t>
            </w:r>
          </w:p>
        </w:tc>
        <w:tc>
          <w:tcPr>
            <w:tcW w:w="1934" w:type="dxa"/>
          </w:tcPr>
          <w:p>
            <w:pPr>
              <w:snapToGrid w:val="0"/>
              <w:spacing w:line="288" w:lineRule="auto"/>
              <w:rPr>
                <w:color w:val="000000"/>
                <w:sz w:val="18"/>
                <w:szCs w:val="18"/>
              </w:rPr>
            </w:pPr>
            <w:r>
              <w:rPr>
                <w:rFonts w:hint="eastAsia"/>
                <w:color w:val="000000"/>
                <w:sz w:val="18"/>
                <w:szCs w:val="18"/>
              </w:rPr>
              <w:t>学生课外阅读、课堂讨论、练习</w:t>
            </w:r>
          </w:p>
        </w:tc>
        <w:tc>
          <w:tcPr>
            <w:tcW w:w="1533" w:type="dxa"/>
          </w:tcPr>
          <w:p>
            <w:pPr>
              <w:snapToGrid w:val="0"/>
              <w:spacing w:line="288" w:lineRule="auto"/>
              <w:rPr>
                <w:color w:val="000000"/>
                <w:sz w:val="18"/>
                <w:szCs w:val="18"/>
              </w:rPr>
            </w:pPr>
            <w:r>
              <w:rPr>
                <w:rFonts w:hint="eastAsia"/>
                <w:color w:val="000000"/>
                <w:sz w:val="18"/>
                <w:szCs w:val="18"/>
              </w:rPr>
              <w:t>小组读书报告</w:t>
            </w:r>
          </w:p>
          <w:p>
            <w:pPr>
              <w:snapToGrid w:val="0"/>
              <w:spacing w:line="288" w:lineRule="auto"/>
              <w:rPr>
                <w:rFonts w:hint="eastAsia"/>
                <w:color w:val="000000"/>
                <w:sz w:val="18"/>
                <w:szCs w:val="18"/>
              </w:rPr>
            </w:pPr>
            <w:r>
              <w:rPr>
                <w:rFonts w:hint="eastAsia"/>
                <w:color w:val="000000"/>
                <w:sz w:val="18"/>
                <w:szCs w:val="18"/>
              </w:rPr>
              <w:t>小组文创设计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Pr>
          <w:p>
            <w:pPr>
              <w:tabs>
                <w:tab w:val="center" w:pos="159"/>
              </w:tabs>
              <w:snapToGrid w:val="0"/>
              <w:spacing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204" w:type="dxa"/>
          </w:tcPr>
          <w:p>
            <w:pPr>
              <w:snapToGrid w:val="0"/>
              <w:spacing w:line="288" w:lineRule="auto"/>
              <w:jc w:val="center"/>
              <w:rPr>
                <w:rFonts w:asciiTheme="minorEastAsia" w:hAnsiTheme="minorEastAsia" w:eastAsiaTheme="minorEastAsia"/>
                <w:color w:val="000000"/>
                <w:sz w:val="24"/>
                <w:szCs w:val="24"/>
              </w:rPr>
            </w:pPr>
            <w:r>
              <w:rPr>
                <w:rFonts w:hint="eastAsia" w:cs="宋体" w:asciiTheme="minorEastAsia" w:hAnsiTheme="minorEastAsia" w:eastAsiaTheme="minorEastAsia"/>
                <w:kern w:val="0"/>
                <w:sz w:val="24"/>
                <w:szCs w:val="24"/>
              </w:rPr>
              <w:t>L0812</w:t>
            </w:r>
          </w:p>
        </w:tc>
        <w:tc>
          <w:tcPr>
            <w:tcW w:w="3175" w:type="dxa"/>
          </w:tcPr>
          <w:p>
            <w:pPr>
              <w:snapToGrid w:val="0"/>
              <w:spacing w:line="288" w:lineRule="auto"/>
              <w:rPr>
                <w:color w:val="000000"/>
                <w:sz w:val="18"/>
                <w:szCs w:val="18"/>
              </w:rPr>
            </w:pPr>
            <w:r>
              <w:rPr>
                <w:rFonts w:hint="eastAsia"/>
                <w:color w:val="000000"/>
                <w:sz w:val="18"/>
                <w:szCs w:val="18"/>
              </w:rPr>
              <w:t>阅读外国文学名著，理解其他国家的历史文化</w:t>
            </w:r>
          </w:p>
        </w:tc>
        <w:tc>
          <w:tcPr>
            <w:tcW w:w="1934" w:type="dxa"/>
          </w:tcPr>
          <w:p>
            <w:pPr>
              <w:snapToGrid w:val="0"/>
              <w:spacing w:line="288" w:lineRule="auto"/>
              <w:rPr>
                <w:color w:val="000000"/>
                <w:sz w:val="18"/>
                <w:szCs w:val="18"/>
              </w:rPr>
            </w:pPr>
            <w:r>
              <w:rPr>
                <w:rFonts w:hint="eastAsia"/>
                <w:color w:val="000000"/>
                <w:sz w:val="18"/>
                <w:szCs w:val="18"/>
              </w:rPr>
              <w:t>学生课外阅读、课堂讨论</w:t>
            </w:r>
          </w:p>
        </w:tc>
        <w:tc>
          <w:tcPr>
            <w:tcW w:w="1533" w:type="dxa"/>
          </w:tcPr>
          <w:p>
            <w:pPr>
              <w:snapToGrid w:val="0"/>
              <w:spacing w:line="288" w:lineRule="auto"/>
              <w:rPr>
                <w:color w:val="000000"/>
                <w:sz w:val="18"/>
                <w:szCs w:val="18"/>
              </w:rPr>
            </w:pPr>
            <w:r>
              <w:rPr>
                <w:rFonts w:hint="eastAsia"/>
                <w:color w:val="000000"/>
                <w:sz w:val="18"/>
                <w:szCs w:val="18"/>
              </w:rPr>
              <w:t>小组读书报告</w:t>
            </w:r>
          </w:p>
          <w:p>
            <w:pPr>
              <w:snapToGrid w:val="0"/>
              <w:spacing w:line="288" w:lineRule="auto"/>
              <w:rPr>
                <w:rFonts w:hint="eastAsia"/>
                <w:color w:val="000000"/>
                <w:sz w:val="18"/>
                <w:szCs w:val="18"/>
              </w:rPr>
            </w:pPr>
            <w:r>
              <w:rPr>
                <w:rFonts w:hint="eastAsia"/>
                <w:color w:val="000000"/>
                <w:sz w:val="18"/>
                <w:szCs w:val="18"/>
              </w:rPr>
              <w:t>小组文创设计</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tbl>
      <w:tblPr>
        <w:tblStyle w:val="7"/>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
        <w:gridCol w:w="642"/>
        <w:gridCol w:w="4458"/>
        <w:gridCol w:w="1000"/>
        <w:gridCol w:w="1050"/>
        <w:gridCol w:w="1008"/>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308" w:type="dxa"/>
          </w:tcPr>
          <w:p>
            <w:pPr>
              <w:widowControl/>
              <w:adjustRightInd w:val="0"/>
              <w:snapToGrid w:val="0"/>
              <w:spacing w:before="156" w:beforeLines="50" w:after="156" w:afterLines="50" w:line="288" w:lineRule="auto"/>
              <w:jc w:val="center"/>
              <w:rPr>
                <w:rFonts w:asciiTheme="minorEastAsia" w:hAnsiTheme="minorEastAsia" w:eastAsiaTheme="minorEastAsia"/>
                <w:b/>
                <w:bCs/>
                <w:sz w:val="18"/>
                <w:szCs w:val="18"/>
              </w:rPr>
            </w:pPr>
          </w:p>
        </w:tc>
        <w:tc>
          <w:tcPr>
            <w:tcW w:w="642" w:type="dxa"/>
          </w:tcPr>
          <w:p>
            <w:pPr>
              <w:widowControl/>
              <w:spacing w:before="156" w:beforeLines="50" w:after="156" w:afterLines="50" w:line="360" w:lineRule="auto"/>
              <w:jc w:val="center"/>
              <w:rPr>
                <w:rFonts w:asciiTheme="majorBidi" w:hAnsiTheme="majorBidi" w:eastAsiaTheme="minorEastAsia" w:cstheme="majorBidi"/>
                <w:b/>
                <w:bCs/>
                <w:sz w:val="18"/>
                <w:szCs w:val="18"/>
              </w:rPr>
            </w:pPr>
            <w:r>
              <w:rPr>
                <w:rFonts w:asciiTheme="majorBidi" w:hAnsiTheme="majorBidi" w:eastAsiaTheme="minorEastAsia" w:cstheme="majorBidi"/>
                <w:b/>
                <w:bCs/>
                <w:sz w:val="18"/>
                <w:szCs w:val="18"/>
              </w:rPr>
              <w:t>单元</w:t>
            </w:r>
          </w:p>
        </w:tc>
        <w:tc>
          <w:tcPr>
            <w:tcW w:w="4458" w:type="dxa"/>
            <w:vAlign w:val="center"/>
          </w:tcPr>
          <w:p>
            <w:pPr>
              <w:widowControl/>
              <w:spacing w:before="156" w:beforeLines="50" w:after="156" w:afterLines="50" w:line="360" w:lineRule="auto"/>
              <w:jc w:val="center"/>
              <w:rPr>
                <w:rFonts w:asciiTheme="majorBidi" w:hAnsiTheme="majorBidi" w:eastAsiaTheme="minorEastAsia" w:cstheme="majorBidi"/>
                <w:b/>
                <w:bCs/>
                <w:sz w:val="18"/>
                <w:szCs w:val="18"/>
              </w:rPr>
            </w:pPr>
            <w:r>
              <w:rPr>
                <w:rFonts w:asciiTheme="majorBidi" w:hAnsiTheme="majorBidi" w:eastAsiaTheme="minorEastAsia" w:cstheme="majorBidi"/>
                <w:b/>
                <w:bCs/>
                <w:sz w:val="18"/>
                <w:szCs w:val="18"/>
              </w:rPr>
              <w:t>知识点</w:t>
            </w:r>
          </w:p>
        </w:tc>
        <w:tc>
          <w:tcPr>
            <w:tcW w:w="1000" w:type="dxa"/>
            <w:vAlign w:val="center"/>
          </w:tcPr>
          <w:p>
            <w:pPr>
              <w:widowControl/>
              <w:spacing w:before="156" w:beforeLines="50" w:after="156" w:afterLines="50" w:line="360" w:lineRule="auto"/>
              <w:jc w:val="center"/>
              <w:rPr>
                <w:rFonts w:asciiTheme="majorBidi" w:hAnsiTheme="majorBidi" w:eastAsiaTheme="minorEastAsia" w:cstheme="majorBidi"/>
                <w:b/>
                <w:bCs/>
                <w:sz w:val="18"/>
                <w:szCs w:val="18"/>
              </w:rPr>
            </w:pPr>
            <w:r>
              <w:rPr>
                <w:rFonts w:asciiTheme="majorBidi" w:hAnsiTheme="majorBidi" w:eastAsiaTheme="minorEastAsia" w:cstheme="majorBidi"/>
                <w:b/>
                <w:bCs/>
                <w:sz w:val="18"/>
                <w:szCs w:val="18"/>
              </w:rPr>
              <w:t>能力</w:t>
            </w:r>
            <w:r>
              <w:rPr>
                <w:rFonts w:hint="eastAsia" w:asciiTheme="majorBidi" w:hAnsiTheme="majorBidi" w:eastAsiaTheme="minorEastAsia" w:cstheme="majorBidi"/>
                <w:b/>
                <w:bCs/>
                <w:sz w:val="18"/>
                <w:szCs w:val="18"/>
              </w:rPr>
              <w:t xml:space="preserve">   </w:t>
            </w:r>
            <w:r>
              <w:rPr>
                <w:rFonts w:asciiTheme="majorBidi" w:hAnsiTheme="majorBidi" w:eastAsiaTheme="minorEastAsia" w:cstheme="majorBidi"/>
                <w:b/>
                <w:bCs/>
                <w:sz w:val="18"/>
                <w:szCs w:val="18"/>
              </w:rPr>
              <w:t>要求</w:t>
            </w:r>
          </w:p>
        </w:tc>
        <w:tc>
          <w:tcPr>
            <w:tcW w:w="1050" w:type="dxa"/>
            <w:vAlign w:val="center"/>
          </w:tcPr>
          <w:p>
            <w:pPr>
              <w:widowControl/>
              <w:spacing w:before="156" w:beforeLines="50" w:after="156" w:afterLines="50" w:line="360" w:lineRule="auto"/>
              <w:jc w:val="center"/>
              <w:rPr>
                <w:rFonts w:asciiTheme="majorBidi" w:hAnsiTheme="majorBidi" w:eastAsiaTheme="minorEastAsia" w:cstheme="majorBidi"/>
                <w:b/>
                <w:bCs/>
                <w:sz w:val="18"/>
                <w:szCs w:val="18"/>
              </w:rPr>
            </w:pPr>
            <w:r>
              <w:rPr>
                <w:rFonts w:hint="eastAsia" w:asciiTheme="majorBidi" w:hAnsiTheme="majorBidi" w:eastAsiaTheme="minorEastAsia" w:cstheme="majorBidi"/>
                <w:b/>
                <w:bCs/>
                <w:sz w:val="18"/>
                <w:szCs w:val="18"/>
              </w:rPr>
              <w:t>教学    重点</w:t>
            </w:r>
          </w:p>
        </w:tc>
        <w:tc>
          <w:tcPr>
            <w:tcW w:w="1008" w:type="dxa"/>
          </w:tcPr>
          <w:p>
            <w:pPr>
              <w:widowControl/>
              <w:spacing w:before="156" w:beforeLines="50" w:after="156" w:afterLines="50" w:line="360" w:lineRule="auto"/>
              <w:jc w:val="center"/>
              <w:rPr>
                <w:rFonts w:asciiTheme="majorBidi" w:hAnsiTheme="majorBidi" w:eastAsiaTheme="minorEastAsia" w:cstheme="majorBidi"/>
                <w:b/>
                <w:bCs/>
                <w:sz w:val="18"/>
                <w:szCs w:val="18"/>
              </w:rPr>
            </w:pPr>
            <w:r>
              <w:rPr>
                <w:rFonts w:hint="eastAsia" w:asciiTheme="majorBidi" w:hAnsiTheme="majorBidi" w:eastAsiaTheme="minorEastAsia" w:cstheme="majorBidi"/>
                <w:b/>
                <w:bCs/>
                <w:sz w:val="18"/>
                <w:szCs w:val="18"/>
              </w:rPr>
              <w:t>教学    难点</w:t>
            </w:r>
          </w:p>
        </w:tc>
        <w:tc>
          <w:tcPr>
            <w:tcW w:w="600" w:type="dxa"/>
            <w:vAlign w:val="center"/>
          </w:tcPr>
          <w:p>
            <w:pPr>
              <w:widowControl/>
              <w:spacing w:before="156" w:beforeLines="50" w:after="156" w:afterLines="50" w:line="360" w:lineRule="auto"/>
              <w:jc w:val="center"/>
              <w:rPr>
                <w:rFonts w:asciiTheme="majorBidi" w:hAnsiTheme="majorBidi" w:eastAsiaTheme="minorEastAsia" w:cstheme="majorBidi"/>
                <w:b/>
                <w:bCs/>
                <w:sz w:val="18"/>
                <w:szCs w:val="18"/>
              </w:rPr>
            </w:pPr>
            <w:r>
              <w:rPr>
                <w:rFonts w:asciiTheme="majorBidi" w:hAnsiTheme="majorBidi" w:eastAsiaTheme="minorEastAsia" w:cstheme="majorBidi"/>
                <w:b/>
                <w:bCs/>
                <w:sz w:val="18"/>
                <w:szCs w:val="18"/>
              </w:rPr>
              <w:t>理论课时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642"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先秦两汉魏晋文学</w:t>
            </w:r>
          </w:p>
        </w:tc>
        <w:tc>
          <w:tcPr>
            <w:tcW w:w="4458" w:type="dxa"/>
          </w:tcPr>
          <w:p>
            <w:pPr>
              <w:widowControl/>
              <w:adjustRightInd w:val="0"/>
              <w:snapToGrid w:val="0"/>
              <w:spacing w:before="156" w:beforeLines="50" w:after="156" w:afterLines="50" w:line="288" w:lineRule="auto"/>
              <w:ind w:firstLine="270" w:firstLineChars="150"/>
              <w:jc w:val="left"/>
              <w:rPr>
                <w:rFonts w:asciiTheme="minorEastAsia" w:hAnsiTheme="minorEastAsia" w:eastAsiaTheme="minorEastAsia"/>
                <w:sz w:val="18"/>
                <w:szCs w:val="18"/>
              </w:rPr>
            </w:pPr>
            <w:r>
              <w:rPr>
                <w:rFonts w:hint="eastAsia" w:asciiTheme="minorEastAsia" w:hAnsiTheme="minorEastAsia" w:eastAsiaTheme="minorEastAsia"/>
                <w:bCs/>
                <w:sz w:val="18"/>
                <w:szCs w:val="18"/>
              </w:rPr>
              <w:t>知道：</w:t>
            </w:r>
            <w:r>
              <w:rPr>
                <w:rFonts w:hint="eastAsia" w:asciiTheme="minorEastAsia" w:hAnsiTheme="minorEastAsia" w:eastAsiaTheme="minorEastAsia"/>
                <w:sz w:val="18"/>
                <w:szCs w:val="18"/>
              </w:rPr>
              <w:t>《诗经》篇数（305篇）、内容分类（风、雅、颂）和艺术表现手法分类（赋、比、兴）。</w:t>
            </w:r>
            <w:r>
              <w:rPr>
                <w:rFonts w:hint="eastAsia" w:asciiTheme="minorEastAsia" w:hAnsiTheme="minorEastAsia" w:eastAsiaTheme="minorEastAsia"/>
                <w:bCs/>
                <w:sz w:val="18"/>
                <w:szCs w:val="18"/>
              </w:rPr>
              <w:t>理解：</w:t>
            </w:r>
            <w:r>
              <w:rPr>
                <w:rFonts w:hint="eastAsia" w:asciiTheme="minorEastAsia" w:hAnsiTheme="minorEastAsia" w:eastAsiaTheme="minorEastAsia"/>
                <w:sz w:val="18"/>
                <w:szCs w:val="18"/>
              </w:rPr>
              <w:t>《诗经》的艺术表现手法分类（赋、比、兴）的含义。</w:t>
            </w:r>
            <w:r>
              <w:rPr>
                <w:rFonts w:hint="eastAsia" w:asciiTheme="minorEastAsia" w:hAnsiTheme="minorEastAsia" w:eastAsiaTheme="minorEastAsia"/>
                <w:bCs/>
                <w:sz w:val="18"/>
                <w:szCs w:val="18"/>
              </w:rPr>
              <w:t>运用</w:t>
            </w:r>
            <w:r>
              <w:rPr>
                <w:rFonts w:hint="eastAsia" w:asciiTheme="minorEastAsia" w:hAnsiTheme="minorEastAsia" w:eastAsiaTheme="minorEastAsia"/>
                <w:sz w:val="18"/>
                <w:szCs w:val="18"/>
              </w:rPr>
              <w:t>（赋、比、兴）艺术表现手法，</w:t>
            </w:r>
            <w:r>
              <w:rPr>
                <w:rFonts w:hint="eastAsia" w:asciiTheme="minorEastAsia" w:hAnsiTheme="minorEastAsia" w:eastAsiaTheme="minorEastAsia"/>
                <w:bCs/>
                <w:sz w:val="18"/>
                <w:szCs w:val="18"/>
              </w:rPr>
              <w:t>综合</w:t>
            </w:r>
            <w:r>
              <w:rPr>
                <w:rFonts w:hint="eastAsia" w:asciiTheme="minorEastAsia" w:hAnsiTheme="minorEastAsia" w:eastAsiaTheme="minorEastAsia"/>
                <w:sz w:val="18"/>
                <w:szCs w:val="18"/>
              </w:rPr>
              <w:t>时代背景，</w:t>
            </w:r>
            <w:r>
              <w:rPr>
                <w:rFonts w:hint="eastAsia" w:asciiTheme="minorEastAsia" w:hAnsiTheme="minorEastAsia" w:eastAsiaTheme="minorEastAsia"/>
                <w:bCs/>
                <w:sz w:val="18"/>
                <w:szCs w:val="18"/>
              </w:rPr>
              <w:t>分析</w:t>
            </w:r>
            <w:r>
              <w:rPr>
                <w:rFonts w:hint="eastAsia" w:asciiTheme="minorEastAsia" w:hAnsiTheme="minorEastAsia" w:eastAsiaTheme="minorEastAsia"/>
                <w:sz w:val="18"/>
                <w:szCs w:val="18"/>
              </w:rPr>
              <w:t>《诗经》中的诗歌文本内容，并对所分析的诗歌的主题思想和艺术特色及其影响给予比较入情入理的</w:t>
            </w:r>
            <w:r>
              <w:rPr>
                <w:rFonts w:hint="eastAsia" w:asciiTheme="minorEastAsia" w:hAnsiTheme="minorEastAsia" w:eastAsiaTheme="minorEastAsia"/>
                <w:bCs/>
                <w:sz w:val="18"/>
                <w:szCs w:val="18"/>
              </w:rPr>
              <w:t>评价</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知道：</w:t>
            </w:r>
            <w:r>
              <w:rPr>
                <w:rFonts w:hint="eastAsia" w:asciiTheme="minorEastAsia" w:hAnsiTheme="minorEastAsia" w:eastAsiaTheme="minorEastAsia"/>
                <w:sz w:val="18"/>
                <w:szCs w:val="18"/>
              </w:rPr>
              <w:t>先秦诸子散文的作者、内容，理解其艺术风格。知道《世说新语》的内容，理解其艺术特色。</w:t>
            </w:r>
          </w:p>
        </w:tc>
        <w:tc>
          <w:tcPr>
            <w:tcW w:w="1000"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了解先秦文学的概况，理解《诗经》赋、比、兴的艺术手法</w:t>
            </w:r>
          </w:p>
        </w:tc>
        <w:tc>
          <w:tcPr>
            <w:tcW w:w="1050"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《诗经》《世说新语》的艺术特色；《楚辞》的主题思想及艺术特色</w:t>
            </w:r>
          </w:p>
        </w:tc>
        <w:tc>
          <w:tcPr>
            <w:tcW w:w="1008"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《诗经》、先秦诸子散文的艺术手法</w:t>
            </w:r>
          </w:p>
        </w:tc>
        <w:tc>
          <w:tcPr>
            <w:tcW w:w="600"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642"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唐代文学</w:t>
            </w:r>
          </w:p>
        </w:tc>
        <w:tc>
          <w:tcPr>
            <w:tcW w:w="4458" w:type="dxa"/>
          </w:tcPr>
          <w:p>
            <w:pPr>
              <w:widowControl/>
              <w:adjustRightInd w:val="0"/>
              <w:snapToGrid w:val="0"/>
              <w:spacing w:before="156" w:beforeLines="50" w:after="156" w:afterLines="50" w:line="288" w:lineRule="auto"/>
              <w:ind w:firstLine="270" w:firstLineChars="150"/>
              <w:jc w:val="left"/>
              <w:rPr>
                <w:rFonts w:asciiTheme="minorEastAsia" w:hAnsiTheme="minorEastAsia" w:eastAsiaTheme="minorEastAsia"/>
                <w:sz w:val="18"/>
                <w:szCs w:val="18"/>
              </w:rPr>
            </w:pPr>
            <w:r>
              <w:rPr>
                <w:rFonts w:hint="eastAsia" w:asciiTheme="minorEastAsia" w:hAnsiTheme="minorEastAsia" w:eastAsiaTheme="minorEastAsia"/>
                <w:bCs/>
                <w:sz w:val="18"/>
                <w:szCs w:val="18"/>
              </w:rPr>
              <w:t>知道：</w:t>
            </w:r>
            <w:r>
              <w:rPr>
                <w:rFonts w:hint="eastAsia" w:asciiTheme="minorEastAsia" w:hAnsiTheme="minorEastAsia" w:eastAsiaTheme="minorEastAsia"/>
                <w:sz w:val="18"/>
                <w:szCs w:val="18"/>
              </w:rPr>
              <w:t>唐代诗歌分期（初唐、盛唐和晚唐）、风格流派（浪漫主义风格、现实主义风格、山水田园风格、军旅边塞风格等）、代表诗人（陈子昂、李白、杜甫、白居易、李商隐、王维、孟浩然、岑参等）及其生平和作品情况。</w:t>
            </w:r>
            <w:r>
              <w:rPr>
                <w:rFonts w:hint="eastAsia" w:asciiTheme="minorEastAsia" w:hAnsiTheme="minorEastAsia" w:eastAsiaTheme="minorEastAsia"/>
                <w:bCs/>
                <w:sz w:val="18"/>
                <w:szCs w:val="18"/>
              </w:rPr>
              <w:t>理解：</w:t>
            </w:r>
            <w:r>
              <w:rPr>
                <w:rFonts w:hint="eastAsia" w:asciiTheme="minorEastAsia" w:hAnsiTheme="minorEastAsia" w:eastAsiaTheme="minorEastAsia"/>
                <w:sz w:val="18"/>
                <w:szCs w:val="18"/>
              </w:rPr>
              <w:t>唐代诗歌的艺术表现手法。</w:t>
            </w:r>
            <w:r>
              <w:rPr>
                <w:rFonts w:hint="eastAsia" w:asciiTheme="minorEastAsia" w:hAnsiTheme="minorEastAsia" w:eastAsiaTheme="minorEastAsia"/>
                <w:bCs/>
                <w:sz w:val="18"/>
                <w:szCs w:val="18"/>
              </w:rPr>
              <w:t>综合、运用</w:t>
            </w:r>
            <w:r>
              <w:rPr>
                <w:rFonts w:hint="eastAsia" w:asciiTheme="minorEastAsia" w:hAnsiTheme="minorEastAsia" w:eastAsiaTheme="minorEastAsia"/>
                <w:sz w:val="18"/>
                <w:szCs w:val="18"/>
              </w:rPr>
              <w:t>时代背景和作者生平经历，</w:t>
            </w:r>
            <w:r>
              <w:rPr>
                <w:rFonts w:hint="eastAsia" w:asciiTheme="minorEastAsia" w:hAnsiTheme="minorEastAsia" w:eastAsiaTheme="minorEastAsia"/>
                <w:bCs/>
                <w:sz w:val="18"/>
                <w:szCs w:val="18"/>
              </w:rPr>
              <w:t>分析</w:t>
            </w:r>
            <w:r>
              <w:rPr>
                <w:rFonts w:hint="eastAsia" w:asciiTheme="minorEastAsia" w:hAnsiTheme="minorEastAsia" w:eastAsiaTheme="minorEastAsia"/>
                <w:sz w:val="18"/>
                <w:szCs w:val="18"/>
              </w:rPr>
              <w:t>唐代诗歌文本内容，并对所分析的诗歌的主题思想和艺术特色及其影响给予比较入情入理的</w:t>
            </w:r>
            <w:r>
              <w:rPr>
                <w:rFonts w:hint="eastAsia" w:asciiTheme="minorEastAsia" w:hAnsiTheme="minorEastAsia" w:eastAsiaTheme="minorEastAsia"/>
                <w:bCs/>
                <w:sz w:val="18"/>
                <w:szCs w:val="18"/>
              </w:rPr>
              <w:t>评价</w:t>
            </w:r>
            <w:r>
              <w:rPr>
                <w:rFonts w:hint="eastAsia" w:asciiTheme="minorEastAsia" w:hAnsiTheme="minorEastAsia" w:eastAsiaTheme="minorEastAsia"/>
                <w:sz w:val="18"/>
                <w:szCs w:val="18"/>
              </w:rPr>
              <w:t>。</w:t>
            </w:r>
          </w:p>
        </w:tc>
        <w:tc>
          <w:tcPr>
            <w:tcW w:w="1000"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分析诗歌的意象与意境 </w:t>
            </w:r>
          </w:p>
        </w:tc>
        <w:tc>
          <w:tcPr>
            <w:tcW w:w="1050"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李白、杜甫等著名诗人作品的艺术特色</w:t>
            </w:r>
          </w:p>
        </w:tc>
        <w:tc>
          <w:tcPr>
            <w:tcW w:w="1008"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结合作者生平分析诗歌</w:t>
            </w:r>
          </w:p>
        </w:tc>
        <w:tc>
          <w:tcPr>
            <w:tcW w:w="600"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642"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宋代文学</w:t>
            </w:r>
          </w:p>
        </w:tc>
        <w:tc>
          <w:tcPr>
            <w:tcW w:w="4458" w:type="dxa"/>
          </w:tcPr>
          <w:p>
            <w:pPr>
              <w:widowControl/>
              <w:adjustRightInd w:val="0"/>
              <w:snapToGrid w:val="0"/>
              <w:spacing w:before="156" w:beforeLines="50" w:after="156" w:afterLines="50" w:line="288" w:lineRule="auto"/>
              <w:ind w:firstLine="270" w:firstLineChars="150"/>
              <w:jc w:val="left"/>
              <w:rPr>
                <w:rFonts w:asciiTheme="minorEastAsia" w:hAnsiTheme="minorEastAsia" w:eastAsiaTheme="minorEastAsia"/>
                <w:sz w:val="18"/>
                <w:szCs w:val="18"/>
              </w:rPr>
            </w:pPr>
            <w:r>
              <w:rPr>
                <w:rFonts w:hint="eastAsia" w:asciiTheme="minorEastAsia" w:hAnsiTheme="minorEastAsia" w:eastAsiaTheme="minorEastAsia"/>
                <w:bCs/>
                <w:sz w:val="18"/>
                <w:szCs w:val="18"/>
              </w:rPr>
              <w:t>知道：</w:t>
            </w:r>
            <w:r>
              <w:rPr>
                <w:rFonts w:hint="eastAsia" w:asciiTheme="minorEastAsia" w:hAnsiTheme="minorEastAsia" w:eastAsiaTheme="minorEastAsia"/>
                <w:sz w:val="18"/>
                <w:szCs w:val="18"/>
              </w:rPr>
              <w:t>宋词的风格流派（豪放派和婉约派）、代表诗人（苏轼、辛弃疾和柳永、李清照）及其生平和作品情况。</w:t>
            </w:r>
            <w:r>
              <w:rPr>
                <w:rFonts w:hint="eastAsia" w:asciiTheme="minorEastAsia" w:hAnsiTheme="minorEastAsia" w:eastAsiaTheme="minorEastAsia"/>
                <w:bCs/>
                <w:sz w:val="18"/>
                <w:szCs w:val="18"/>
              </w:rPr>
              <w:t>理解：</w:t>
            </w:r>
            <w:r>
              <w:rPr>
                <w:rFonts w:hint="eastAsia" w:asciiTheme="minorEastAsia" w:hAnsiTheme="minorEastAsia" w:eastAsiaTheme="minorEastAsia"/>
                <w:sz w:val="18"/>
                <w:szCs w:val="18"/>
              </w:rPr>
              <w:t>宋词的艺术表现手法。</w:t>
            </w:r>
            <w:r>
              <w:rPr>
                <w:rFonts w:hint="eastAsia" w:asciiTheme="minorEastAsia" w:hAnsiTheme="minorEastAsia" w:eastAsiaTheme="minorEastAsia"/>
                <w:bCs/>
                <w:sz w:val="18"/>
                <w:szCs w:val="18"/>
              </w:rPr>
              <w:t>综合、运用</w:t>
            </w:r>
            <w:r>
              <w:rPr>
                <w:rFonts w:hint="eastAsia" w:asciiTheme="minorEastAsia" w:hAnsiTheme="minorEastAsia" w:eastAsiaTheme="minorEastAsia"/>
                <w:sz w:val="18"/>
                <w:szCs w:val="18"/>
              </w:rPr>
              <w:t>时代背景和作者生平经历，</w:t>
            </w:r>
            <w:r>
              <w:rPr>
                <w:rFonts w:hint="eastAsia" w:asciiTheme="minorEastAsia" w:hAnsiTheme="minorEastAsia" w:eastAsiaTheme="minorEastAsia"/>
                <w:bCs/>
                <w:sz w:val="18"/>
                <w:szCs w:val="18"/>
              </w:rPr>
              <w:t>分析</w:t>
            </w:r>
            <w:r>
              <w:rPr>
                <w:rFonts w:hint="eastAsia" w:asciiTheme="minorEastAsia" w:hAnsiTheme="minorEastAsia" w:eastAsiaTheme="minorEastAsia"/>
                <w:sz w:val="18"/>
                <w:szCs w:val="18"/>
              </w:rPr>
              <w:t>宋词文本内容，并对所分析的词作品的主题思想和艺术特色及其影响给予比较入情入理的</w:t>
            </w:r>
            <w:r>
              <w:rPr>
                <w:rFonts w:hint="eastAsia" w:asciiTheme="minorEastAsia" w:hAnsiTheme="minorEastAsia" w:eastAsiaTheme="minorEastAsia"/>
                <w:bCs/>
                <w:sz w:val="18"/>
                <w:szCs w:val="18"/>
              </w:rPr>
              <w:t>评价</w:t>
            </w:r>
            <w:r>
              <w:rPr>
                <w:rFonts w:hint="eastAsia" w:asciiTheme="minorEastAsia" w:hAnsiTheme="minorEastAsia" w:eastAsiaTheme="minorEastAsia"/>
                <w:sz w:val="18"/>
                <w:szCs w:val="18"/>
              </w:rPr>
              <w:t>。</w:t>
            </w:r>
          </w:p>
        </w:tc>
        <w:tc>
          <w:tcPr>
            <w:tcW w:w="1000"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鉴赏词的境界</w:t>
            </w:r>
          </w:p>
        </w:tc>
        <w:tc>
          <w:tcPr>
            <w:tcW w:w="1050"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宋词的流派及其特色</w:t>
            </w:r>
          </w:p>
        </w:tc>
        <w:tc>
          <w:tcPr>
            <w:tcW w:w="1008"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苏轼、辛弃疾、柳永、李清照等词的艺术特色</w:t>
            </w:r>
          </w:p>
        </w:tc>
        <w:tc>
          <w:tcPr>
            <w:tcW w:w="600"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642"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元明戏曲</w:t>
            </w:r>
          </w:p>
        </w:tc>
        <w:tc>
          <w:tcPr>
            <w:tcW w:w="4458" w:type="dxa"/>
          </w:tcPr>
          <w:p>
            <w:pPr>
              <w:widowControl/>
              <w:adjustRightInd w:val="0"/>
              <w:snapToGrid w:val="0"/>
              <w:spacing w:before="156" w:beforeLines="50" w:after="156" w:afterLines="50" w:line="288" w:lineRule="auto"/>
              <w:ind w:firstLine="270" w:firstLineChars="150"/>
              <w:jc w:val="left"/>
              <w:rPr>
                <w:rFonts w:asciiTheme="minorEastAsia" w:hAnsiTheme="minorEastAsia" w:eastAsiaTheme="minorEastAsia"/>
                <w:sz w:val="18"/>
                <w:szCs w:val="18"/>
              </w:rPr>
            </w:pPr>
            <w:r>
              <w:rPr>
                <w:rFonts w:hint="eastAsia" w:asciiTheme="minorEastAsia" w:hAnsiTheme="minorEastAsia" w:eastAsiaTheme="minorEastAsia"/>
                <w:bCs/>
                <w:sz w:val="18"/>
                <w:szCs w:val="18"/>
              </w:rPr>
              <w:t>知道：</w:t>
            </w:r>
            <w:r>
              <w:rPr>
                <w:rFonts w:hint="eastAsia" w:asciiTheme="minorEastAsia" w:hAnsiTheme="minorEastAsia" w:eastAsiaTheme="minorEastAsia"/>
                <w:sz w:val="18"/>
                <w:szCs w:val="18"/>
              </w:rPr>
              <w:t>了解中国古代戏曲的发展简史、著名戏剧作家（关汉卿、汤显祖、王实甫、睢景臣等）及其生平和代表作品（《窦娥冤》、《西厢记》、《牡丹亭》《高祖还乡》等；</w:t>
            </w:r>
            <w:r>
              <w:rPr>
                <w:rFonts w:hint="eastAsia" w:asciiTheme="minorEastAsia" w:hAnsiTheme="minorEastAsia" w:eastAsiaTheme="minorEastAsia"/>
                <w:bCs/>
                <w:sz w:val="18"/>
                <w:szCs w:val="18"/>
              </w:rPr>
              <w:t>理解：</w:t>
            </w:r>
            <w:r>
              <w:rPr>
                <w:rFonts w:hint="eastAsia" w:asciiTheme="minorEastAsia" w:hAnsiTheme="minorEastAsia" w:eastAsiaTheme="minorEastAsia"/>
                <w:sz w:val="18"/>
                <w:szCs w:val="18"/>
              </w:rPr>
              <w:t>这些作品的思想内容及其丰富的艺术表现手法。</w:t>
            </w:r>
            <w:r>
              <w:rPr>
                <w:rFonts w:hint="eastAsia" w:asciiTheme="minorEastAsia" w:hAnsiTheme="minorEastAsia" w:eastAsiaTheme="minorEastAsia"/>
                <w:bCs/>
                <w:sz w:val="18"/>
                <w:szCs w:val="18"/>
              </w:rPr>
              <w:t>综合、运用</w:t>
            </w:r>
            <w:r>
              <w:rPr>
                <w:rFonts w:hint="eastAsia" w:asciiTheme="minorEastAsia" w:hAnsiTheme="minorEastAsia" w:eastAsiaTheme="minorEastAsia"/>
                <w:sz w:val="18"/>
                <w:szCs w:val="18"/>
              </w:rPr>
              <w:t>时代背景和作者生平经历，分析这些作品文本内容，并对所分析的作品的主题思想和艺术特色及其影响给予比较入情入理的</w:t>
            </w:r>
            <w:r>
              <w:rPr>
                <w:rFonts w:hint="eastAsia" w:asciiTheme="minorEastAsia" w:hAnsiTheme="minorEastAsia" w:eastAsiaTheme="minorEastAsia"/>
                <w:bCs/>
                <w:sz w:val="18"/>
                <w:szCs w:val="18"/>
              </w:rPr>
              <w:t>评价</w:t>
            </w:r>
            <w:r>
              <w:rPr>
                <w:rFonts w:hint="eastAsia" w:asciiTheme="minorEastAsia" w:hAnsiTheme="minorEastAsia" w:eastAsiaTheme="minorEastAsia"/>
                <w:sz w:val="18"/>
                <w:szCs w:val="18"/>
              </w:rPr>
              <w:t>。</w:t>
            </w:r>
          </w:p>
        </w:tc>
        <w:tc>
          <w:tcPr>
            <w:tcW w:w="1000"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鉴赏戏曲的戏剧效果</w:t>
            </w:r>
          </w:p>
        </w:tc>
        <w:tc>
          <w:tcPr>
            <w:tcW w:w="1050"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中国古典戏曲的发展历史及其代表作品</w:t>
            </w:r>
          </w:p>
        </w:tc>
        <w:tc>
          <w:tcPr>
            <w:tcW w:w="1008"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古典戏曲的表现形式</w:t>
            </w:r>
          </w:p>
        </w:tc>
        <w:tc>
          <w:tcPr>
            <w:tcW w:w="600"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642"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明清小说</w:t>
            </w:r>
          </w:p>
        </w:tc>
        <w:tc>
          <w:tcPr>
            <w:tcW w:w="4458" w:type="dxa"/>
          </w:tcPr>
          <w:p>
            <w:pPr>
              <w:widowControl/>
              <w:adjustRightInd w:val="0"/>
              <w:snapToGrid w:val="0"/>
              <w:spacing w:before="156" w:beforeLines="50" w:after="156" w:afterLines="50" w:line="288" w:lineRule="auto"/>
              <w:ind w:firstLine="270" w:firstLineChars="150"/>
              <w:jc w:val="left"/>
              <w:rPr>
                <w:rFonts w:asciiTheme="minorEastAsia" w:hAnsiTheme="minorEastAsia" w:eastAsiaTheme="minorEastAsia"/>
                <w:sz w:val="18"/>
                <w:szCs w:val="18"/>
              </w:rPr>
            </w:pPr>
            <w:r>
              <w:rPr>
                <w:rFonts w:hint="eastAsia" w:asciiTheme="minorEastAsia" w:hAnsiTheme="minorEastAsia" w:eastAsiaTheme="minorEastAsia"/>
                <w:bCs/>
                <w:sz w:val="18"/>
                <w:szCs w:val="18"/>
              </w:rPr>
              <w:t>知道：</w:t>
            </w:r>
            <w:r>
              <w:rPr>
                <w:rFonts w:hint="eastAsia" w:asciiTheme="minorEastAsia" w:hAnsiTheme="minorEastAsia" w:eastAsiaTheme="minorEastAsia"/>
                <w:sz w:val="18"/>
                <w:szCs w:val="18"/>
              </w:rPr>
              <w:t>中国古代小说的发展简史、四大名著以及</w:t>
            </w:r>
            <w:r>
              <w:rPr>
                <w:rFonts w:hint="eastAsia" w:asciiTheme="minorEastAsia" w:hAnsiTheme="minorEastAsia" w:eastAsiaTheme="minorEastAsia"/>
                <w:bCs/>
                <w:sz w:val="18"/>
                <w:szCs w:val="18"/>
              </w:rPr>
              <w:t>《儒林外史》</w:t>
            </w:r>
            <w:r>
              <w:rPr>
                <w:rFonts w:hint="eastAsia" w:asciiTheme="minorEastAsia" w:hAnsiTheme="minorEastAsia" w:eastAsiaTheme="minorEastAsia"/>
                <w:sz w:val="18"/>
                <w:szCs w:val="18"/>
              </w:rPr>
              <w:t>的作者情况。</w:t>
            </w:r>
            <w:r>
              <w:rPr>
                <w:rFonts w:hint="eastAsia" w:asciiTheme="minorEastAsia" w:hAnsiTheme="minorEastAsia" w:eastAsiaTheme="minorEastAsia"/>
                <w:bCs/>
                <w:sz w:val="18"/>
                <w:szCs w:val="18"/>
              </w:rPr>
              <w:t>理解：</w:t>
            </w:r>
            <w:r>
              <w:rPr>
                <w:rFonts w:hint="eastAsia" w:asciiTheme="minorEastAsia" w:hAnsiTheme="minorEastAsia" w:eastAsiaTheme="minorEastAsia"/>
                <w:sz w:val="18"/>
                <w:szCs w:val="18"/>
              </w:rPr>
              <w:t>这些作品的思想内容、人物及其丰富的艺术表现手法。</w:t>
            </w:r>
            <w:r>
              <w:rPr>
                <w:rFonts w:hint="eastAsia" w:asciiTheme="minorEastAsia" w:hAnsiTheme="minorEastAsia" w:eastAsiaTheme="minorEastAsia"/>
                <w:bCs/>
                <w:sz w:val="18"/>
                <w:szCs w:val="18"/>
              </w:rPr>
              <w:t>综合、运用</w:t>
            </w:r>
            <w:r>
              <w:rPr>
                <w:rFonts w:hint="eastAsia" w:asciiTheme="minorEastAsia" w:hAnsiTheme="minorEastAsia" w:eastAsiaTheme="minorEastAsia"/>
                <w:sz w:val="18"/>
                <w:szCs w:val="18"/>
              </w:rPr>
              <w:t>时代背景、相关历史和作者生平经历，分析这些作品文本内容，并对所分析的作品的主题思想、典型人物和艺术特色及其影响给予比较入情入理的</w:t>
            </w:r>
            <w:r>
              <w:rPr>
                <w:rFonts w:hint="eastAsia" w:asciiTheme="minorEastAsia" w:hAnsiTheme="minorEastAsia" w:eastAsiaTheme="minorEastAsia"/>
                <w:bCs/>
                <w:sz w:val="18"/>
                <w:szCs w:val="18"/>
              </w:rPr>
              <w:t>评价</w:t>
            </w:r>
            <w:r>
              <w:rPr>
                <w:rFonts w:hint="eastAsia" w:asciiTheme="minorEastAsia" w:hAnsiTheme="minorEastAsia" w:eastAsiaTheme="minorEastAsia"/>
                <w:sz w:val="18"/>
                <w:szCs w:val="18"/>
              </w:rPr>
              <w:t>。</w:t>
            </w:r>
          </w:p>
        </w:tc>
        <w:tc>
          <w:tcPr>
            <w:tcW w:w="1000"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鉴赏小说的写人艺术</w:t>
            </w:r>
          </w:p>
        </w:tc>
        <w:tc>
          <w:tcPr>
            <w:tcW w:w="1050"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中国古代小说的发展史及四大名著的内容思想</w:t>
            </w:r>
          </w:p>
        </w:tc>
        <w:tc>
          <w:tcPr>
            <w:tcW w:w="1008"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各个小说的艺术特色</w:t>
            </w:r>
          </w:p>
        </w:tc>
        <w:tc>
          <w:tcPr>
            <w:tcW w:w="600"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642"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中国近现代文学</w:t>
            </w:r>
          </w:p>
        </w:tc>
        <w:tc>
          <w:tcPr>
            <w:tcW w:w="4458" w:type="dxa"/>
          </w:tcPr>
          <w:p>
            <w:pPr>
              <w:widowControl/>
              <w:adjustRightInd w:val="0"/>
              <w:snapToGrid w:val="0"/>
              <w:spacing w:before="156" w:beforeLines="50" w:after="156" w:afterLines="50" w:line="288" w:lineRule="auto"/>
              <w:ind w:firstLine="270" w:firstLineChars="150"/>
              <w:jc w:val="left"/>
              <w:rPr>
                <w:rFonts w:asciiTheme="minorEastAsia" w:hAnsiTheme="minorEastAsia" w:eastAsiaTheme="minorEastAsia"/>
                <w:sz w:val="18"/>
                <w:szCs w:val="18"/>
              </w:rPr>
            </w:pPr>
            <w:r>
              <w:rPr>
                <w:rFonts w:hint="eastAsia" w:asciiTheme="minorEastAsia" w:hAnsiTheme="minorEastAsia" w:eastAsiaTheme="minorEastAsia"/>
                <w:bCs/>
                <w:sz w:val="18"/>
                <w:szCs w:val="18"/>
              </w:rPr>
              <w:t>知道：</w:t>
            </w:r>
            <w:r>
              <w:rPr>
                <w:rFonts w:hint="eastAsia" w:asciiTheme="minorEastAsia" w:hAnsiTheme="minorEastAsia" w:eastAsiaTheme="minorEastAsia"/>
                <w:sz w:val="18"/>
                <w:szCs w:val="18"/>
              </w:rPr>
              <w:t>中国近现代小说的发展简况，毛泽东、鲁迅、茅盾、老舍、巴金、沈从文、钱钟书、曹禺、张爱玲等著名文学家及其代表作品（《阿Q正传》、《子夜》、《四世同堂》和《家》《边城》《围城》《雷雨》《金锁记》等；能熟读这些代表作品的经典片段。</w:t>
            </w:r>
            <w:r>
              <w:rPr>
                <w:rFonts w:hint="eastAsia" w:asciiTheme="minorEastAsia" w:hAnsiTheme="minorEastAsia" w:eastAsiaTheme="minorEastAsia"/>
                <w:bCs/>
                <w:sz w:val="18"/>
                <w:szCs w:val="18"/>
              </w:rPr>
              <w:t>理解：</w:t>
            </w:r>
            <w:r>
              <w:rPr>
                <w:rFonts w:hint="eastAsia" w:asciiTheme="minorEastAsia" w:hAnsiTheme="minorEastAsia" w:eastAsiaTheme="minorEastAsia"/>
                <w:sz w:val="18"/>
                <w:szCs w:val="18"/>
              </w:rPr>
              <w:t>这些作品的思想内容、人物及其丰富的艺术表现手法。</w:t>
            </w:r>
            <w:r>
              <w:rPr>
                <w:rFonts w:hint="eastAsia" w:asciiTheme="minorEastAsia" w:hAnsiTheme="minorEastAsia" w:eastAsiaTheme="minorEastAsia"/>
                <w:bCs/>
                <w:sz w:val="18"/>
                <w:szCs w:val="18"/>
              </w:rPr>
              <w:t>综合、运用</w:t>
            </w:r>
            <w:r>
              <w:rPr>
                <w:rFonts w:hint="eastAsia" w:asciiTheme="minorEastAsia" w:hAnsiTheme="minorEastAsia" w:eastAsiaTheme="minorEastAsia"/>
                <w:sz w:val="18"/>
                <w:szCs w:val="18"/>
              </w:rPr>
              <w:t>时代背景、相关历史和作者生平经历，分析这些作品文本内容，并对所分析的作品的主题思想、典型人物和艺术特色及其影响给予比较入情入理的</w:t>
            </w:r>
            <w:r>
              <w:rPr>
                <w:rFonts w:hint="eastAsia" w:asciiTheme="minorEastAsia" w:hAnsiTheme="minorEastAsia" w:eastAsiaTheme="minorEastAsia"/>
                <w:bCs/>
                <w:sz w:val="18"/>
                <w:szCs w:val="18"/>
              </w:rPr>
              <w:t>评价</w:t>
            </w:r>
            <w:r>
              <w:rPr>
                <w:rFonts w:hint="eastAsia" w:asciiTheme="minorEastAsia" w:hAnsiTheme="minorEastAsia" w:eastAsiaTheme="minorEastAsia"/>
                <w:sz w:val="18"/>
                <w:szCs w:val="18"/>
              </w:rPr>
              <w:t>。</w:t>
            </w:r>
          </w:p>
        </w:tc>
        <w:tc>
          <w:tcPr>
            <w:tcW w:w="1000"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理解现代文学对古典文学的继承与发展</w:t>
            </w:r>
          </w:p>
        </w:tc>
        <w:tc>
          <w:tcPr>
            <w:tcW w:w="1050"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中国近代小说概况及其代表作品的内容思想</w:t>
            </w:r>
          </w:p>
        </w:tc>
        <w:tc>
          <w:tcPr>
            <w:tcW w:w="1008"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鲁迅、老舍等小说艺术特色的分析</w:t>
            </w:r>
          </w:p>
        </w:tc>
        <w:tc>
          <w:tcPr>
            <w:tcW w:w="600"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308"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642"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中国当代文学</w:t>
            </w:r>
          </w:p>
        </w:tc>
        <w:tc>
          <w:tcPr>
            <w:tcW w:w="4458" w:type="dxa"/>
          </w:tcPr>
          <w:p>
            <w:pPr>
              <w:widowControl/>
              <w:adjustRightInd w:val="0"/>
              <w:snapToGrid w:val="0"/>
              <w:spacing w:before="156" w:beforeLines="50" w:after="156" w:afterLines="50" w:line="288" w:lineRule="auto"/>
              <w:ind w:firstLine="270" w:firstLineChars="150"/>
              <w:jc w:val="left"/>
              <w:rPr>
                <w:rFonts w:asciiTheme="minorEastAsia" w:hAnsiTheme="minorEastAsia" w:eastAsiaTheme="minorEastAsia"/>
                <w:sz w:val="18"/>
                <w:szCs w:val="18"/>
              </w:rPr>
            </w:pPr>
            <w:r>
              <w:rPr>
                <w:rFonts w:hint="eastAsia" w:asciiTheme="minorEastAsia" w:hAnsiTheme="minorEastAsia" w:eastAsiaTheme="minorEastAsia"/>
                <w:bCs/>
                <w:sz w:val="18"/>
                <w:szCs w:val="18"/>
              </w:rPr>
              <w:t>知道：</w:t>
            </w:r>
            <w:r>
              <w:rPr>
                <w:rFonts w:hint="eastAsia" w:asciiTheme="minorEastAsia" w:hAnsiTheme="minorEastAsia" w:eastAsiaTheme="minorEastAsia"/>
                <w:sz w:val="18"/>
                <w:szCs w:val="18"/>
              </w:rPr>
              <w:t>中国当代小说的发展简况，莫言、王安忆、余华、陈忠实、路遥、金庸</w:t>
            </w:r>
            <w:r>
              <w:rPr>
                <w:rFonts w:hint="eastAsia" w:asciiTheme="minorEastAsia" w:hAnsiTheme="minorEastAsia" w:eastAsiaTheme="minorEastAsia"/>
                <w:sz w:val="18"/>
                <w:szCs w:val="18"/>
                <w:lang w:eastAsia="zh-CN"/>
              </w:rPr>
              <w:t>、梁晓声、麦家</w:t>
            </w:r>
            <w:r>
              <w:rPr>
                <w:rFonts w:hint="eastAsia" w:asciiTheme="minorEastAsia" w:hAnsiTheme="minorEastAsia" w:eastAsiaTheme="minorEastAsia"/>
                <w:sz w:val="18"/>
                <w:szCs w:val="18"/>
              </w:rPr>
              <w:t>等当代作家及其代表作品（《红高粱》、《长恨歌》、《活着》《白鹿原》和《平凡的世界》</w:t>
            </w:r>
            <w:r>
              <w:rPr>
                <w:rFonts w:hint="eastAsia" w:asciiTheme="minorEastAsia" w:hAnsiTheme="minorEastAsia" w:eastAsiaTheme="minorEastAsia"/>
                <w:sz w:val="18"/>
                <w:szCs w:val="18"/>
                <w:lang w:eastAsia="zh-CN"/>
              </w:rPr>
              <w:t>《人世间》《人生海海》</w:t>
            </w:r>
            <w:r>
              <w:rPr>
                <w:rFonts w:hint="eastAsia" w:asciiTheme="minorEastAsia" w:hAnsiTheme="minorEastAsia" w:eastAsiaTheme="minorEastAsia"/>
                <w:sz w:val="18"/>
                <w:szCs w:val="18"/>
              </w:rPr>
              <w:t>等；</w:t>
            </w:r>
            <w:r>
              <w:rPr>
                <w:rFonts w:hint="eastAsia" w:asciiTheme="minorEastAsia" w:hAnsiTheme="minorEastAsia" w:eastAsiaTheme="minorEastAsia"/>
                <w:bCs/>
                <w:sz w:val="18"/>
                <w:szCs w:val="18"/>
              </w:rPr>
              <w:t>理解：</w:t>
            </w:r>
            <w:r>
              <w:rPr>
                <w:rFonts w:hint="eastAsia" w:asciiTheme="minorEastAsia" w:hAnsiTheme="minorEastAsia" w:eastAsiaTheme="minorEastAsia"/>
                <w:sz w:val="18"/>
                <w:szCs w:val="18"/>
              </w:rPr>
              <w:t>这些作品的思想内容、人物及其丰富的艺术表现手法。</w:t>
            </w:r>
            <w:r>
              <w:rPr>
                <w:rFonts w:hint="eastAsia" w:asciiTheme="minorEastAsia" w:hAnsiTheme="minorEastAsia" w:eastAsiaTheme="minorEastAsia"/>
                <w:bCs/>
                <w:sz w:val="18"/>
                <w:szCs w:val="18"/>
              </w:rPr>
              <w:t>综合、运用</w:t>
            </w:r>
            <w:r>
              <w:rPr>
                <w:rFonts w:hint="eastAsia" w:asciiTheme="minorEastAsia" w:hAnsiTheme="minorEastAsia" w:eastAsiaTheme="minorEastAsia"/>
                <w:sz w:val="18"/>
                <w:szCs w:val="18"/>
              </w:rPr>
              <w:t>时代背景、相关历史和作者生平经历，分析这些作品文本内容，并对所分析的作品的主题思想、典型人物和艺术特色及其影响给予比较入情入理的</w:t>
            </w:r>
            <w:r>
              <w:rPr>
                <w:rFonts w:hint="eastAsia" w:asciiTheme="minorEastAsia" w:hAnsiTheme="minorEastAsia" w:eastAsiaTheme="minorEastAsia"/>
                <w:bCs/>
                <w:sz w:val="18"/>
                <w:szCs w:val="18"/>
              </w:rPr>
              <w:t>评价</w:t>
            </w:r>
            <w:r>
              <w:rPr>
                <w:rFonts w:hint="eastAsia" w:asciiTheme="minorEastAsia" w:hAnsiTheme="minorEastAsia" w:eastAsiaTheme="minorEastAsia"/>
                <w:sz w:val="18"/>
                <w:szCs w:val="18"/>
              </w:rPr>
              <w:t>。</w:t>
            </w:r>
          </w:p>
        </w:tc>
        <w:tc>
          <w:tcPr>
            <w:tcW w:w="1000"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鉴赏当代文学艺术手法</w:t>
            </w:r>
          </w:p>
        </w:tc>
        <w:tc>
          <w:tcPr>
            <w:tcW w:w="1050"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中国当代小说的发展及概况</w:t>
            </w:r>
          </w:p>
        </w:tc>
        <w:tc>
          <w:tcPr>
            <w:tcW w:w="1008"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莫言、路遥、陈忠实等小说的艺术特色的分析</w:t>
            </w:r>
          </w:p>
        </w:tc>
        <w:tc>
          <w:tcPr>
            <w:tcW w:w="600"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308"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642"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外国文学</w:t>
            </w:r>
          </w:p>
        </w:tc>
        <w:tc>
          <w:tcPr>
            <w:tcW w:w="4458" w:type="dxa"/>
          </w:tcPr>
          <w:p>
            <w:pPr>
              <w:widowControl/>
              <w:adjustRightInd w:val="0"/>
              <w:snapToGrid w:val="0"/>
              <w:spacing w:before="156" w:beforeLines="50" w:after="156" w:afterLines="50" w:line="288" w:lineRule="auto"/>
              <w:ind w:firstLine="270" w:firstLineChars="150"/>
              <w:jc w:val="left"/>
              <w:rPr>
                <w:rFonts w:asciiTheme="minorEastAsia" w:hAnsiTheme="minorEastAsia" w:eastAsiaTheme="minorEastAsia"/>
                <w:sz w:val="18"/>
                <w:szCs w:val="18"/>
              </w:rPr>
            </w:pPr>
            <w:r>
              <w:rPr>
                <w:rFonts w:hint="eastAsia" w:asciiTheme="minorEastAsia" w:hAnsiTheme="minorEastAsia" w:eastAsiaTheme="minorEastAsia"/>
                <w:bCs/>
                <w:sz w:val="18"/>
                <w:szCs w:val="18"/>
              </w:rPr>
              <w:t>知道：</w:t>
            </w:r>
            <w:r>
              <w:rPr>
                <w:rFonts w:hint="eastAsia" w:asciiTheme="minorEastAsia" w:hAnsiTheme="minorEastAsia" w:eastAsiaTheme="minorEastAsia"/>
                <w:sz w:val="18"/>
                <w:szCs w:val="18"/>
              </w:rPr>
              <w:t>了解英国、法国、德国、俄国、美国、日本等欧美国家和亚非国家的著名作家及其生平和代表作品；</w:t>
            </w:r>
            <w:r>
              <w:rPr>
                <w:rFonts w:hint="eastAsia" w:asciiTheme="minorEastAsia" w:hAnsiTheme="minorEastAsia" w:eastAsiaTheme="minorEastAsia"/>
                <w:bCs/>
                <w:sz w:val="18"/>
                <w:szCs w:val="18"/>
              </w:rPr>
              <w:t>理解：</w:t>
            </w:r>
            <w:r>
              <w:rPr>
                <w:rFonts w:hint="eastAsia" w:asciiTheme="minorEastAsia" w:hAnsiTheme="minorEastAsia" w:eastAsiaTheme="minorEastAsia"/>
                <w:sz w:val="18"/>
                <w:szCs w:val="18"/>
              </w:rPr>
              <w:t>这些作品的思想内容及其丰富的艺术表现手法。</w:t>
            </w:r>
            <w:r>
              <w:rPr>
                <w:rFonts w:hint="eastAsia" w:asciiTheme="minorEastAsia" w:hAnsiTheme="minorEastAsia" w:eastAsiaTheme="minorEastAsia"/>
                <w:bCs/>
                <w:sz w:val="18"/>
                <w:szCs w:val="18"/>
              </w:rPr>
              <w:t>综合、运用</w:t>
            </w:r>
            <w:r>
              <w:rPr>
                <w:rFonts w:hint="eastAsia" w:asciiTheme="minorEastAsia" w:hAnsiTheme="minorEastAsia" w:eastAsiaTheme="minorEastAsia"/>
                <w:sz w:val="18"/>
                <w:szCs w:val="18"/>
              </w:rPr>
              <w:t>时代背景和作者生平经历，分析这些作品文本内容，并对所分析的作品的主题思想和艺术特色及其影响给予比较入情入理的</w:t>
            </w:r>
            <w:r>
              <w:rPr>
                <w:rFonts w:hint="eastAsia" w:asciiTheme="minorEastAsia" w:hAnsiTheme="minorEastAsia" w:eastAsiaTheme="minorEastAsia"/>
                <w:bCs/>
                <w:sz w:val="18"/>
                <w:szCs w:val="18"/>
              </w:rPr>
              <w:t>评价</w:t>
            </w:r>
            <w:r>
              <w:rPr>
                <w:rFonts w:hint="eastAsia" w:asciiTheme="minorEastAsia" w:hAnsiTheme="minorEastAsia" w:eastAsiaTheme="minorEastAsia"/>
                <w:sz w:val="18"/>
                <w:szCs w:val="18"/>
              </w:rPr>
              <w:t>。</w:t>
            </w:r>
          </w:p>
        </w:tc>
        <w:tc>
          <w:tcPr>
            <w:tcW w:w="1000"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了解外国文学的概括、流派及艺术手法</w:t>
            </w:r>
          </w:p>
        </w:tc>
        <w:tc>
          <w:tcPr>
            <w:tcW w:w="1050"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外国文学的概况及代表作品的内容、特色</w:t>
            </w:r>
          </w:p>
        </w:tc>
        <w:tc>
          <w:tcPr>
            <w:tcW w:w="1008"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《老人与海》《雪国》等名作艺术特色的分析鉴赏</w:t>
            </w:r>
          </w:p>
        </w:tc>
        <w:tc>
          <w:tcPr>
            <w:tcW w:w="600"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642"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复习</w:t>
            </w:r>
          </w:p>
        </w:tc>
        <w:tc>
          <w:tcPr>
            <w:tcW w:w="4458" w:type="dxa"/>
          </w:tcPr>
          <w:p>
            <w:pPr>
              <w:widowControl/>
              <w:adjustRightInd w:val="0"/>
              <w:snapToGrid w:val="0"/>
              <w:spacing w:before="156" w:beforeLines="50" w:after="156" w:afterLines="50" w:line="288" w:lineRule="auto"/>
              <w:ind w:firstLine="270" w:firstLineChars="150"/>
              <w:jc w:val="left"/>
              <w:rPr>
                <w:rFonts w:asciiTheme="minorEastAsia" w:hAnsiTheme="minorEastAsia" w:eastAsiaTheme="minorEastAsia"/>
                <w:bCs/>
                <w:sz w:val="18"/>
                <w:szCs w:val="18"/>
              </w:rPr>
            </w:pPr>
          </w:p>
        </w:tc>
        <w:tc>
          <w:tcPr>
            <w:tcW w:w="1000"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p>
        </w:tc>
        <w:tc>
          <w:tcPr>
            <w:tcW w:w="1050"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p>
        </w:tc>
        <w:tc>
          <w:tcPr>
            <w:tcW w:w="1008"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p>
        </w:tc>
        <w:tc>
          <w:tcPr>
            <w:tcW w:w="600"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bl>
    <w:p>
      <w:pPr>
        <w:widowControl/>
        <w:spacing w:before="156" w:beforeLines="50" w:after="156" w:afterLines="50" w:line="288" w:lineRule="auto"/>
        <w:ind w:firstLine="300" w:firstLineChars="150"/>
        <w:jc w:val="left"/>
        <w:rPr>
          <w:sz w:val="20"/>
          <w:szCs w:val="20"/>
        </w:rPr>
      </w:pPr>
    </w:p>
    <w:tbl>
      <w:tblPr>
        <w:tblStyle w:val="6"/>
        <w:tblpPr w:leftFromText="180" w:rightFromText="180" w:vertAnchor="text" w:horzAnchor="margin" w:tblpY="841"/>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848"/>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086" w:type="dxa"/>
            <w:shd w:val="clear" w:color="auto" w:fill="auto"/>
          </w:tcPr>
          <w:p>
            <w:pPr>
              <w:snapToGrid w:val="0"/>
              <w:spacing w:before="156" w:beforeLines="50" w:after="156" w:afterLines="50"/>
              <w:jc w:val="center"/>
              <w:rPr>
                <w:rFonts w:ascii="宋体" w:hAnsi="宋体"/>
                <w:b/>
                <w:color w:val="000000"/>
                <w:szCs w:val="20"/>
              </w:rPr>
            </w:pPr>
            <w:r>
              <w:rPr>
                <w:rFonts w:hint="eastAsia" w:ascii="宋体" w:hAnsi="宋体"/>
                <w:b/>
                <w:color w:val="000000"/>
                <w:szCs w:val="20"/>
              </w:rPr>
              <w:t>总评构成</w:t>
            </w:r>
            <w:r>
              <w:rPr>
                <w:rFonts w:hint="eastAsia" w:ascii="宋体" w:hAnsi="宋体"/>
                <w:b/>
                <w:color w:val="000000"/>
                <w:szCs w:val="21"/>
              </w:rPr>
              <w:t>（1+</w:t>
            </w:r>
            <w:r>
              <w:rPr>
                <w:rFonts w:ascii="宋体" w:hAnsi="宋体"/>
                <w:b/>
                <w:color w:val="000000"/>
                <w:szCs w:val="21"/>
              </w:rPr>
              <w:t>X</w:t>
            </w:r>
            <w:r>
              <w:rPr>
                <w:rFonts w:hint="eastAsia" w:ascii="宋体" w:hAnsi="宋体"/>
                <w:b/>
                <w:color w:val="000000"/>
                <w:szCs w:val="21"/>
              </w:rPr>
              <w:t>）</w:t>
            </w:r>
          </w:p>
        </w:tc>
        <w:tc>
          <w:tcPr>
            <w:tcW w:w="3848" w:type="dxa"/>
            <w:shd w:val="clear" w:color="auto" w:fill="auto"/>
          </w:tcPr>
          <w:p>
            <w:pPr>
              <w:snapToGrid w:val="0"/>
              <w:spacing w:before="156" w:beforeLines="50" w:after="156" w:afterLines="50"/>
              <w:jc w:val="center"/>
              <w:rPr>
                <w:rFonts w:ascii="宋体" w:hAnsi="宋体"/>
                <w:b/>
                <w:color w:val="000000"/>
                <w:szCs w:val="20"/>
              </w:rPr>
            </w:pPr>
            <w:r>
              <w:rPr>
                <w:rFonts w:hint="eastAsia" w:ascii="宋体" w:hAnsi="宋体"/>
                <w:b/>
                <w:color w:val="000000"/>
                <w:szCs w:val="20"/>
              </w:rPr>
              <w:t>评价方式</w:t>
            </w:r>
          </w:p>
        </w:tc>
        <w:tc>
          <w:tcPr>
            <w:tcW w:w="3075" w:type="dxa"/>
            <w:shd w:val="clear" w:color="auto" w:fill="auto"/>
          </w:tcPr>
          <w:p>
            <w:pPr>
              <w:snapToGrid w:val="0"/>
              <w:spacing w:before="156" w:beforeLines="50" w:after="156" w:afterLines="50"/>
              <w:jc w:val="center"/>
              <w:rPr>
                <w:rFonts w:ascii="宋体" w:hAnsi="宋体"/>
                <w:b/>
                <w:color w:val="000000"/>
                <w:szCs w:val="20"/>
              </w:rPr>
            </w:pPr>
            <w:r>
              <w:rPr>
                <w:rFonts w:ascii="宋体" w:hAnsi="宋体"/>
                <w:b/>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86" w:type="dxa"/>
            <w:shd w:val="clear" w:color="auto" w:fill="auto"/>
          </w:tcPr>
          <w:p>
            <w:pPr>
              <w:snapToGrid w:val="0"/>
              <w:spacing w:before="156" w:beforeLines="50" w:after="156" w:afterLines="50"/>
              <w:jc w:val="center"/>
              <w:rPr>
                <w:rFonts w:ascii="宋体" w:hAnsi="宋体" w:cs="宋体"/>
                <w:bCs/>
                <w:sz w:val="18"/>
                <w:szCs w:val="18"/>
              </w:rPr>
            </w:pPr>
            <w:r>
              <w:rPr>
                <w:rFonts w:hint="eastAsia" w:ascii="宋体" w:hAnsi="宋体" w:cs="宋体"/>
                <w:bCs/>
                <w:sz w:val="18"/>
                <w:szCs w:val="18"/>
              </w:rPr>
              <w:t>1</w:t>
            </w:r>
          </w:p>
        </w:tc>
        <w:tc>
          <w:tcPr>
            <w:tcW w:w="3848" w:type="dxa"/>
            <w:shd w:val="clear" w:color="auto" w:fill="auto"/>
          </w:tcPr>
          <w:p>
            <w:pPr>
              <w:jc w:val="center"/>
              <w:rPr>
                <w:rFonts w:ascii="宋体" w:hAnsi="宋体" w:cs="宋体"/>
                <w:sz w:val="18"/>
                <w:szCs w:val="18"/>
              </w:rPr>
            </w:pPr>
            <w:r>
              <w:rPr>
                <w:rFonts w:hint="eastAsia" w:ascii="宋体" w:hAnsi="宋体" w:cs="宋体"/>
                <w:color w:val="000000"/>
                <w:sz w:val="18"/>
                <w:szCs w:val="18"/>
              </w:rPr>
              <w:t>期末开卷考试</w:t>
            </w:r>
          </w:p>
        </w:tc>
        <w:tc>
          <w:tcPr>
            <w:tcW w:w="3075" w:type="dxa"/>
            <w:shd w:val="clear" w:color="auto" w:fill="auto"/>
          </w:tcPr>
          <w:p>
            <w:pPr>
              <w:jc w:val="center"/>
              <w:rPr>
                <w:rFonts w:ascii="宋体" w:hAnsi="宋体" w:cs="宋体"/>
                <w:bCs/>
                <w:sz w:val="18"/>
                <w:szCs w:val="18"/>
              </w:rPr>
            </w:pPr>
            <w:r>
              <w:rPr>
                <w:rFonts w:hint="eastAsia" w:ascii="宋体" w:hAnsi="宋体" w:cs="宋体"/>
                <w:color w:val="00000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086" w:type="dxa"/>
            <w:shd w:val="clear" w:color="auto" w:fill="auto"/>
          </w:tcPr>
          <w:p>
            <w:pPr>
              <w:snapToGrid w:val="0"/>
              <w:spacing w:before="156" w:beforeLines="50" w:after="156" w:afterLines="50"/>
              <w:jc w:val="center"/>
              <w:rPr>
                <w:rFonts w:ascii="宋体" w:hAnsi="宋体" w:cs="宋体"/>
                <w:bCs/>
                <w:sz w:val="18"/>
                <w:szCs w:val="18"/>
              </w:rPr>
            </w:pPr>
            <w:r>
              <w:rPr>
                <w:rFonts w:hint="eastAsia" w:ascii="宋体" w:hAnsi="宋体" w:cs="宋体"/>
                <w:bCs/>
                <w:sz w:val="18"/>
                <w:szCs w:val="18"/>
              </w:rPr>
              <w:t>X1</w:t>
            </w:r>
          </w:p>
        </w:tc>
        <w:tc>
          <w:tcPr>
            <w:tcW w:w="3848" w:type="dxa"/>
            <w:shd w:val="clear" w:color="auto" w:fill="auto"/>
          </w:tcPr>
          <w:p>
            <w:pPr>
              <w:jc w:val="center"/>
              <w:rPr>
                <w:rFonts w:ascii="宋体" w:hAnsi="宋体" w:cs="宋体"/>
                <w:sz w:val="18"/>
                <w:szCs w:val="18"/>
              </w:rPr>
            </w:pPr>
            <w:r>
              <w:rPr>
                <w:rFonts w:hint="eastAsia" w:ascii="宋体" w:hAnsi="宋体" w:cs="宋体"/>
                <w:color w:val="000000"/>
                <w:sz w:val="18"/>
                <w:szCs w:val="18"/>
              </w:rPr>
              <w:t>小组文创设计</w:t>
            </w:r>
          </w:p>
        </w:tc>
        <w:tc>
          <w:tcPr>
            <w:tcW w:w="3075" w:type="dxa"/>
            <w:shd w:val="clear" w:color="auto" w:fill="auto"/>
          </w:tcPr>
          <w:p>
            <w:pPr>
              <w:jc w:val="center"/>
              <w:rPr>
                <w:rFonts w:ascii="宋体" w:hAnsi="宋体" w:cs="宋体"/>
                <w:bCs/>
                <w:sz w:val="18"/>
                <w:szCs w:val="18"/>
              </w:rPr>
            </w:pPr>
            <w:r>
              <w:rPr>
                <w:rFonts w:hint="eastAsia" w:ascii="宋体" w:hAnsi="宋体" w:cs="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086" w:type="dxa"/>
            <w:shd w:val="clear" w:color="auto" w:fill="auto"/>
          </w:tcPr>
          <w:p>
            <w:pPr>
              <w:snapToGrid w:val="0"/>
              <w:spacing w:before="156" w:beforeLines="50" w:after="156" w:afterLines="50"/>
              <w:jc w:val="center"/>
              <w:rPr>
                <w:rFonts w:ascii="宋体" w:hAnsi="宋体" w:cs="宋体"/>
                <w:bCs/>
                <w:sz w:val="18"/>
                <w:szCs w:val="18"/>
              </w:rPr>
            </w:pPr>
            <w:r>
              <w:rPr>
                <w:rFonts w:hint="eastAsia" w:ascii="宋体" w:hAnsi="宋体" w:cs="宋体"/>
                <w:bCs/>
                <w:sz w:val="18"/>
                <w:szCs w:val="18"/>
              </w:rPr>
              <w:t>X2</w:t>
            </w:r>
          </w:p>
        </w:tc>
        <w:tc>
          <w:tcPr>
            <w:tcW w:w="3848" w:type="dxa"/>
            <w:shd w:val="clear" w:color="auto" w:fill="auto"/>
          </w:tcPr>
          <w:p>
            <w:pPr>
              <w:jc w:val="center"/>
              <w:rPr>
                <w:rFonts w:ascii="宋体" w:hAnsi="宋体" w:cs="宋体"/>
                <w:sz w:val="18"/>
                <w:szCs w:val="18"/>
              </w:rPr>
            </w:pPr>
            <w:r>
              <w:rPr>
                <w:rFonts w:hint="eastAsia" w:ascii="宋体" w:hAnsi="宋体" w:cs="宋体"/>
                <w:color w:val="000000"/>
                <w:sz w:val="18"/>
                <w:szCs w:val="18"/>
              </w:rPr>
              <w:t>小组读书报告</w:t>
            </w:r>
          </w:p>
        </w:tc>
        <w:tc>
          <w:tcPr>
            <w:tcW w:w="3075" w:type="dxa"/>
            <w:shd w:val="clear" w:color="auto" w:fill="auto"/>
          </w:tcPr>
          <w:p>
            <w:pPr>
              <w:jc w:val="center"/>
              <w:rPr>
                <w:rFonts w:ascii="宋体" w:hAnsi="宋体" w:cs="宋体"/>
                <w:bCs/>
                <w:sz w:val="18"/>
                <w:szCs w:val="18"/>
              </w:rPr>
            </w:pPr>
            <w:r>
              <w:rPr>
                <w:rFonts w:hint="eastAsia" w:ascii="宋体" w:hAnsi="宋体" w:cs="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086" w:type="dxa"/>
            <w:shd w:val="clear" w:color="auto" w:fill="auto"/>
          </w:tcPr>
          <w:p>
            <w:pPr>
              <w:snapToGrid w:val="0"/>
              <w:spacing w:before="156" w:beforeLines="50" w:after="156" w:afterLines="50"/>
              <w:jc w:val="center"/>
              <w:rPr>
                <w:rFonts w:ascii="宋体" w:hAnsi="宋体" w:cs="宋体"/>
                <w:bCs/>
                <w:sz w:val="18"/>
                <w:szCs w:val="18"/>
              </w:rPr>
            </w:pPr>
            <w:r>
              <w:rPr>
                <w:rFonts w:hint="eastAsia" w:ascii="宋体" w:hAnsi="宋体" w:cs="宋体"/>
                <w:bCs/>
                <w:sz w:val="18"/>
                <w:szCs w:val="18"/>
              </w:rPr>
              <w:t>X3</w:t>
            </w:r>
          </w:p>
        </w:tc>
        <w:tc>
          <w:tcPr>
            <w:tcW w:w="3848" w:type="dxa"/>
            <w:shd w:val="clear" w:color="auto" w:fill="auto"/>
          </w:tcPr>
          <w:p>
            <w:pPr>
              <w:jc w:val="center"/>
              <w:rPr>
                <w:rFonts w:ascii="宋体" w:hAnsi="宋体" w:cs="宋体"/>
                <w:sz w:val="18"/>
                <w:szCs w:val="18"/>
              </w:rPr>
            </w:pPr>
            <w:r>
              <w:rPr>
                <w:rFonts w:hint="eastAsia"/>
                <w:color w:val="000000"/>
                <w:sz w:val="18"/>
                <w:szCs w:val="18"/>
              </w:rPr>
              <w:t>小说人物品评</w:t>
            </w:r>
          </w:p>
        </w:tc>
        <w:tc>
          <w:tcPr>
            <w:tcW w:w="3075" w:type="dxa"/>
            <w:shd w:val="clear" w:color="auto" w:fill="auto"/>
          </w:tcPr>
          <w:p>
            <w:pPr>
              <w:jc w:val="center"/>
              <w:rPr>
                <w:rFonts w:ascii="宋体" w:hAnsi="宋体" w:cs="宋体"/>
                <w:bCs/>
                <w:sz w:val="18"/>
                <w:szCs w:val="18"/>
              </w:rPr>
            </w:pPr>
            <w:r>
              <w:rPr>
                <w:rFonts w:hint="eastAsia" w:ascii="宋体" w:hAnsi="宋体" w:cs="宋体"/>
                <w:color w:val="000000"/>
                <w:sz w:val="18"/>
                <w:szCs w:val="18"/>
              </w:rPr>
              <w:t>20%</w:t>
            </w:r>
          </w:p>
        </w:tc>
      </w:tr>
    </w:tbl>
    <w:p>
      <w:pPr>
        <w:widowControl/>
        <w:spacing w:before="156" w:beforeLines="50" w:after="156" w:afterLines="50" w:line="288" w:lineRule="auto"/>
        <w:ind w:firstLine="360" w:firstLineChars="150"/>
        <w:jc w:val="left"/>
        <w:rPr>
          <w:rFonts w:hint="eastAsia" w:ascii="黑体" w:hAnsi="宋体" w:eastAsia="黑体"/>
          <w:sz w:val="24"/>
        </w:rPr>
      </w:pPr>
      <w:r>
        <w:rPr>
          <w:rFonts w:hint="eastAsia" w:ascii="黑体" w:hAnsi="宋体" w:eastAsia="黑体"/>
          <w:sz w:val="24"/>
        </w:rPr>
        <w:t>七、评价方式与成绩（必填项）</w:t>
      </w:r>
    </w:p>
    <w:p>
      <w:pPr>
        <w:snapToGrid w:val="0"/>
        <w:spacing w:line="288" w:lineRule="auto"/>
        <w:ind w:firstLine="840" w:firstLineChars="300"/>
        <w:rPr>
          <w:sz w:val="28"/>
          <w:szCs w:val="28"/>
        </w:rPr>
      </w:pPr>
    </w:p>
    <w:p>
      <w:pPr>
        <w:snapToGrid w:val="0"/>
        <w:spacing w:line="288" w:lineRule="auto"/>
        <w:ind w:firstLine="840" w:firstLineChars="300"/>
        <w:rPr>
          <w:sz w:val="28"/>
          <w:szCs w:val="28"/>
        </w:rPr>
      </w:pPr>
    </w:p>
    <w:p>
      <w:pPr>
        <w:snapToGrid w:val="0"/>
        <w:spacing w:line="288" w:lineRule="auto"/>
        <w:rPr>
          <w:sz w:val="28"/>
          <w:szCs w:val="28"/>
        </w:rPr>
      </w:pPr>
      <w:r>
        <w:rPr>
          <w:rFonts w:hint="eastAsia"/>
          <w:sz w:val="28"/>
          <w:szCs w:val="28"/>
        </w:rPr>
        <w:t xml:space="preserve">撰写人：陈力勇                   </w:t>
      </w:r>
      <w:r>
        <w:rPr>
          <w:rFonts w:hint="eastAsia"/>
          <w:sz w:val="28"/>
          <w:szCs w:val="28"/>
          <w:lang w:val="en-US" w:eastAsia="zh-CN"/>
        </w:rPr>
        <w:t xml:space="preserve">    </w:t>
      </w:r>
      <w:r>
        <w:rPr>
          <w:rFonts w:hint="eastAsia"/>
          <w:sz w:val="28"/>
          <w:szCs w:val="28"/>
        </w:rPr>
        <w:t>系主任审核签名：</w:t>
      </w:r>
      <w:r>
        <w:rPr>
          <w:rFonts w:hint="eastAsia"/>
          <w:sz w:val="28"/>
          <w:szCs w:val="28"/>
          <w:lang w:eastAsia="zh-CN"/>
        </w:rPr>
        <w:t>张建民</w:t>
      </w:r>
      <w:r>
        <w:rPr>
          <w:rFonts w:hint="eastAsia"/>
          <w:sz w:val="28"/>
          <w:szCs w:val="28"/>
        </w:rPr>
        <w:t xml:space="preserve"> </w:t>
      </w:r>
    </w:p>
    <w:p>
      <w:pPr>
        <w:snapToGrid w:val="0"/>
        <w:spacing w:line="288" w:lineRule="auto"/>
        <w:jc w:val="right"/>
        <w:rPr>
          <w:sz w:val="28"/>
          <w:szCs w:val="28"/>
        </w:rPr>
      </w:pPr>
      <w:r>
        <w:rPr>
          <w:rFonts w:hint="eastAsia"/>
          <w:sz w:val="28"/>
          <w:szCs w:val="28"/>
        </w:rPr>
        <w:t>审核时间：202</w:t>
      </w:r>
      <w:r>
        <w:rPr>
          <w:sz w:val="28"/>
          <w:szCs w:val="28"/>
        </w:rPr>
        <w:t>2</w:t>
      </w:r>
      <w:r>
        <w:rPr>
          <w:rFonts w:hint="eastAsia"/>
          <w:sz w:val="28"/>
          <w:szCs w:val="28"/>
        </w:rPr>
        <w:t>年9月</w:t>
      </w:r>
    </w:p>
    <w:p>
      <w:pPr>
        <w:snapToGrid w:val="0"/>
        <w:spacing w:line="288" w:lineRule="auto"/>
        <w:rPr>
          <w:sz w:val="28"/>
          <w:szCs w:val="28"/>
        </w:rPr>
      </w:pPr>
    </w:p>
    <w:p>
      <w:pPr>
        <w:snapToGrid w:val="0"/>
        <w:spacing w:line="288" w:lineRule="auto"/>
        <w:ind w:firstLine="630" w:firstLineChars="3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yZjZmYjlhMjY2YmNkZDVhYzFhYjRmZmVjMjgyYWYifQ=="/>
  </w:docVars>
  <w:rsids>
    <w:rsidRoot w:val="00B7651F"/>
    <w:rsid w:val="000811A3"/>
    <w:rsid w:val="001072BC"/>
    <w:rsid w:val="00247532"/>
    <w:rsid w:val="00256B39"/>
    <w:rsid w:val="0026033C"/>
    <w:rsid w:val="002E3721"/>
    <w:rsid w:val="00313BBA"/>
    <w:rsid w:val="0032602E"/>
    <w:rsid w:val="003367AE"/>
    <w:rsid w:val="003B1258"/>
    <w:rsid w:val="003B4DE6"/>
    <w:rsid w:val="004100B0"/>
    <w:rsid w:val="00410AF1"/>
    <w:rsid w:val="005467DC"/>
    <w:rsid w:val="00553D03"/>
    <w:rsid w:val="005B2B6D"/>
    <w:rsid w:val="005B4B4E"/>
    <w:rsid w:val="00603053"/>
    <w:rsid w:val="00624FE1"/>
    <w:rsid w:val="007208D6"/>
    <w:rsid w:val="008B397C"/>
    <w:rsid w:val="008B47F4"/>
    <w:rsid w:val="00900019"/>
    <w:rsid w:val="0099063E"/>
    <w:rsid w:val="009A6B71"/>
    <w:rsid w:val="00A14712"/>
    <w:rsid w:val="00A769B1"/>
    <w:rsid w:val="00A837D5"/>
    <w:rsid w:val="00AA498D"/>
    <w:rsid w:val="00AC4C45"/>
    <w:rsid w:val="00B46F21"/>
    <w:rsid w:val="00B511A5"/>
    <w:rsid w:val="00B736A7"/>
    <w:rsid w:val="00B7651F"/>
    <w:rsid w:val="00C56E09"/>
    <w:rsid w:val="00CF096B"/>
    <w:rsid w:val="00E16D30"/>
    <w:rsid w:val="00E33169"/>
    <w:rsid w:val="00E70904"/>
    <w:rsid w:val="00E804EC"/>
    <w:rsid w:val="00EF44B1"/>
    <w:rsid w:val="00F16FDD"/>
    <w:rsid w:val="00F35AA0"/>
    <w:rsid w:val="016E63C2"/>
    <w:rsid w:val="024B0C39"/>
    <w:rsid w:val="0A8128A6"/>
    <w:rsid w:val="0BF32A1B"/>
    <w:rsid w:val="10BD2C22"/>
    <w:rsid w:val="22987C80"/>
    <w:rsid w:val="24192CCC"/>
    <w:rsid w:val="39A66CD4"/>
    <w:rsid w:val="3CD52CE1"/>
    <w:rsid w:val="410F2E6A"/>
    <w:rsid w:val="4430136C"/>
    <w:rsid w:val="4AB0382B"/>
    <w:rsid w:val="569868B5"/>
    <w:rsid w:val="611F6817"/>
    <w:rsid w:val="65206FA5"/>
    <w:rsid w:val="66CA1754"/>
    <w:rsid w:val="69B53DB2"/>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annotation subject"/>
    <w:basedOn w:val="2"/>
    <w:next w:val="2"/>
    <w:link w:val="14"/>
    <w:semiHidden/>
    <w:unhideWhenUsed/>
    <w:qFormat/>
    <w:uiPriority w:val="99"/>
    <w:rPr>
      <w:b/>
      <w:bCs/>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uiPriority w:val="99"/>
    <w:rPr>
      <w:sz w:val="21"/>
      <w:szCs w:val="21"/>
    </w:rPr>
  </w:style>
  <w:style w:type="character" w:customStyle="1" w:styleId="10">
    <w:name w:val="页眉 字符"/>
    <w:basedOn w:val="8"/>
    <w:link w:val="4"/>
    <w:semiHidden/>
    <w:qFormat/>
    <w:uiPriority w:val="99"/>
    <w:rPr>
      <w:sz w:val="18"/>
      <w:szCs w:val="18"/>
    </w:rPr>
  </w:style>
  <w:style w:type="character" w:customStyle="1" w:styleId="11">
    <w:name w:val="页脚 字符"/>
    <w:basedOn w:val="8"/>
    <w:link w:val="3"/>
    <w:semiHidden/>
    <w:qFormat/>
    <w:uiPriority w:val="99"/>
    <w:rPr>
      <w:sz w:val="18"/>
      <w:szCs w:val="18"/>
    </w:rPr>
  </w:style>
  <w:style w:type="character" w:customStyle="1" w:styleId="12">
    <w:name w:val="font31"/>
    <w:qFormat/>
    <w:uiPriority w:val="0"/>
    <w:rPr>
      <w:rFonts w:hint="eastAsia" w:ascii="宋体" w:hAnsi="宋体" w:eastAsia="宋体" w:cs="宋体"/>
      <w:color w:val="000000"/>
      <w:sz w:val="22"/>
      <w:szCs w:val="22"/>
      <w:u w:val="none"/>
    </w:rPr>
  </w:style>
  <w:style w:type="character" w:customStyle="1" w:styleId="13">
    <w:name w:val="批注文字 字符"/>
    <w:basedOn w:val="8"/>
    <w:link w:val="2"/>
    <w:semiHidden/>
    <w:qFormat/>
    <w:uiPriority w:val="99"/>
    <w:rPr>
      <w:rFonts w:ascii="Calibri" w:hAnsi="Calibri" w:eastAsia="宋体" w:cs="Times New Roman"/>
      <w:kern w:val="2"/>
      <w:sz w:val="21"/>
      <w:szCs w:val="22"/>
    </w:rPr>
  </w:style>
  <w:style w:type="character" w:customStyle="1" w:styleId="14">
    <w:name w:val="批注主题 字符"/>
    <w:basedOn w:val="13"/>
    <w:link w:val="5"/>
    <w:semiHidden/>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2911</Words>
  <Characters>3100</Characters>
  <Lines>23</Lines>
  <Paragraphs>6</Paragraphs>
  <TotalTime>0</TotalTime>
  <ScaleCrop>false</ScaleCrop>
  <LinksUpToDate>false</LinksUpToDate>
  <CharactersWithSpaces>3156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欣田</cp:lastModifiedBy>
  <dcterms:modified xsi:type="dcterms:W3CDTF">2022-09-19T12:36:50Z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D13D465569B3458D85E7CD9903194103</vt:lpwstr>
  </property>
</Properties>
</file>