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【商务谈判】</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Business Negotiation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2030181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1、主教材：讲义</w:t>
      </w:r>
    </w:p>
    <w:p>
      <w:pPr>
        <w:snapToGrid w:val="0"/>
        <w:spacing w:line="288" w:lineRule="auto"/>
        <w:ind w:firstLine="392" w:firstLineChars="196"/>
        <w:rPr>
          <w:color w:val="000000"/>
          <w:sz w:val="20"/>
          <w:szCs w:val="20"/>
        </w:rPr>
      </w:pPr>
      <w:r>
        <w:rPr>
          <w:rFonts w:hint="eastAsia"/>
          <w:color w:val="000000"/>
          <w:sz w:val="20"/>
          <w:szCs w:val="20"/>
        </w:rPr>
        <w:t>2、辅助教材</w:t>
      </w:r>
    </w:p>
    <w:p>
      <w:pPr>
        <w:snapToGrid w:val="0"/>
        <w:spacing w:line="288" w:lineRule="auto"/>
        <w:ind w:firstLine="392" w:firstLineChars="196"/>
        <w:rPr>
          <w:color w:val="000000"/>
          <w:sz w:val="20"/>
          <w:szCs w:val="20"/>
        </w:rPr>
      </w:pPr>
      <w:r>
        <w:rPr>
          <w:rFonts w:hint="eastAsia"/>
          <w:color w:val="000000"/>
          <w:sz w:val="20"/>
          <w:szCs w:val="20"/>
        </w:rPr>
        <w:t>李佳韵、翁静乐，《国际商务英语口语口译》，上海交通大学出版社，2015年版</w:t>
      </w:r>
    </w:p>
    <w:p>
      <w:pPr>
        <w:snapToGrid w:val="0"/>
        <w:spacing w:line="288" w:lineRule="auto"/>
        <w:ind w:firstLine="392" w:firstLineChars="196"/>
        <w:rPr>
          <w:color w:val="000000"/>
          <w:sz w:val="20"/>
          <w:szCs w:val="20"/>
        </w:rPr>
      </w:pPr>
      <w:r>
        <w:rPr>
          <w:rFonts w:hint="eastAsia"/>
          <w:color w:val="000000"/>
          <w:sz w:val="20"/>
          <w:szCs w:val="20"/>
        </w:rPr>
        <w:t>樊建廷，《商务谈判》，东北财经大学出版社，2013年版</w:t>
      </w:r>
    </w:p>
    <w:p>
      <w:pPr>
        <w:snapToGrid w:val="0"/>
        <w:spacing w:line="288" w:lineRule="auto"/>
        <w:ind w:firstLine="392" w:firstLineChars="196"/>
        <w:rPr>
          <w:color w:val="000000"/>
          <w:sz w:val="20"/>
          <w:szCs w:val="20"/>
        </w:rPr>
      </w:pPr>
      <w:r>
        <w:rPr>
          <w:rFonts w:hint="eastAsia"/>
          <w:color w:val="000000"/>
          <w:sz w:val="20"/>
          <w:szCs w:val="20"/>
        </w:rPr>
        <w:t>3、参考教材</w:t>
      </w:r>
    </w:p>
    <w:p>
      <w:pPr>
        <w:snapToGrid w:val="0"/>
        <w:spacing w:line="288" w:lineRule="auto"/>
        <w:ind w:firstLine="392" w:firstLineChars="196"/>
        <w:rPr>
          <w:color w:val="000000"/>
          <w:sz w:val="20"/>
          <w:szCs w:val="20"/>
        </w:rPr>
      </w:pPr>
      <w:r>
        <w:rPr>
          <w:rFonts w:hint="eastAsia"/>
          <w:color w:val="000000"/>
          <w:sz w:val="20"/>
          <w:szCs w:val="20"/>
        </w:rPr>
        <w:t>冯修文，《商务秘书英语》，清华大学出版社，2014年版</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b/>
          <w:bCs/>
          <w:color w:val="000000"/>
          <w:sz w:val="20"/>
          <w:szCs w:val="20"/>
        </w:rPr>
        <w:t>https://elearning.gench.edu.cn:8443/webapps/blackboard/execute/modulepage/view?course_id=_5659_1&amp;cmp_tab_id=_5939_1&amp;editMode=true&amp;mode=cpview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商务秘书英语</w:t>
      </w:r>
      <w:r>
        <w:rPr>
          <w:color w:val="000000"/>
          <w:sz w:val="20"/>
          <w:szCs w:val="20"/>
        </w:rPr>
        <w:t xml:space="preserve"> </w:t>
      </w:r>
      <w:r>
        <w:rPr>
          <w:rFonts w:hint="eastAsia"/>
          <w:color w:val="000000"/>
          <w:sz w:val="20"/>
          <w:szCs w:val="20"/>
        </w:rPr>
        <w:t>2030364</w:t>
      </w:r>
      <w:r>
        <w:rPr>
          <w:color w:val="000000"/>
          <w:sz w:val="20"/>
          <w:szCs w:val="20"/>
        </w:rPr>
        <w:t>（</w:t>
      </w:r>
      <w:r>
        <w:rPr>
          <w:rFonts w:hint="eastAsia"/>
          <w:color w:val="000000"/>
          <w:sz w:val="20"/>
          <w:szCs w:val="20"/>
        </w:rPr>
        <w:t>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400" w:firstLineChars="200"/>
        <w:rPr>
          <w:color w:val="000000"/>
          <w:sz w:val="20"/>
          <w:szCs w:val="20"/>
        </w:rPr>
      </w:pPr>
      <w:r>
        <w:rPr>
          <w:rFonts w:hint="eastAsia"/>
          <w:color w:val="000000"/>
          <w:sz w:val="20"/>
          <w:szCs w:val="20"/>
        </w:rPr>
        <w:t>本课程旨在培养秘书从业人员需具备的一些现代经济活动中必备的商务谈判知识与能力。开设此门双语课程，学生能</w:t>
      </w:r>
      <w:r>
        <w:rPr>
          <w:color w:val="000000"/>
          <w:sz w:val="20"/>
          <w:szCs w:val="20"/>
        </w:rPr>
        <w:t>掌握商务谈判的基本原理和相关知识</w:t>
      </w:r>
      <w:r>
        <w:rPr>
          <w:rFonts w:hint="eastAsia"/>
          <w:color w:val="000000"/>
          <w:sz w:val="20"/>
          <w:szCs w:val="20"/>
        </w:rPr>
        <w:t>；</w:t>
      </w:r>
      <w:r>
        <w:rPr>
          <w:color w:val="000000"/>
          <w:sz w:val="20"/>
          <w:szCs w:val="20"/>
        </w:rPr>
        <w:t>有效、系统地计划和准备一个商务谈判</w:t>
      </w:r>
      <w:r>
        <w:rPr>
          <w:rFonts w:hint="eastAsia"/>
          <w:color w:val="000000"/>
          <w:sz w:val="20"/>
          <w:szCs w:val="20"/>
        </w:rPr>
        <w:t>；</w:t>
      </w:r>
      <w:r>
        <w:rPr>
          <w:color w:val="000000"/>
          <w:sz w:val="20"/>
          <w:szCs w:val="20"/>
        </w:rPr>
        <w:t>认识并提高参加商务谈判的优势</w:t>
      </w:r>
      <w:r>
        <w:rPr>
          <w:rFonts w:hint="eastAsia"/>
          <w:color w:val="000000"/>
          <w:sz w:val="20"/>
          <w:szCs w:val="20"/>
        </w:rPr>
        <w:t>；</w:t>
      </w:r>
      <w:r>
        <w:rPr>
          <w:color w:val="000000"/>
          <w:sz w:val="20"/>
          <w:szCs w:val="20"/>
        </w:rPr>
        <w:t>熟悉并能创造性地运用谈判的策略和技巧</w:t>
      </w:r>
      <w:r>
        <w:rPr>
          <w:rFonts w:hint="eastAsia"/>
          <w:color w:val="000000"/>
          <w:sz w:val="20"/>
          <w:szCs w:val="20"/>
        </w:rPr>
        <w:t>；</w:t>
      </w:r>
      <w:r>
        <w:rPr>
          <w:color w:val="000000"/>
          <w:sz w:val="20"/>
          <w:szCs w:val="20"/>
        </w:rPr>
        <w:t>有效地主持商务谈判及领导谈判团队。</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本课程适合秘书学专业本科生，具备一定的商务知识，并具备较好的中英文听说能力。因此，在二下或三年级开设此课程较好。</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了解行业前沿知识技术。</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Pr>
        <w:widowControl/>
        <w:spacing w:before="156" w:beforeLines="50" w:after="156" w:afterLines="50" w:line="288" w:lineRule="auto"/>
        <w:jc w:val="left"/>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LO112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能在不同的商务谈判场合进行沟通与商谈，并能达到预期谈判目标。</w:t>
            </w:r>
          </w:p>
        </w:tc>
        <w:tc>
          <w:tcPr>
            <w:tcW w:w="2199"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案例分析、场景操练</w:t>
            </w:r>
          </w:p>
        </w:tc>
        <w:tc>
          <w:tcPr>
            <w:tcW w:w="1276"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同行互评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vMerge w:val="restart"/>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LO811</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1.掌握并能灵活运用不同场合商务谈判英语表达。</w:t>
            </w:r>
          </w:p>
        </w:tc>
        <w:tc>
          <w:tcPr>
            <w:tcW w:w="2199"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听说教学</w:t>
            </w:r>
          </w:p>
        </w:tc>
        <w:tc>
          <w:tcPr>
            <w:tcW w:w="1276"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5" w:type="dxa"/>
            <w:vMerge w:val="continue"/>
            <w:shd w:val="clear" w:color="auto" w:fill="auto"/>
          </w:tcPr>
          <w:p>
            <w:pPr>
              <w:rPr>
                <w:rFonts w:ascii="宋体" w:hAnsi="宋体" w:cs="宋体"/>
                <w:color w:val="000000"/>
                <w:kern w:val="0"/>
                <w:sz w:val="20"/>
                <w:szCs w:val="20"/>
              </w:rPr>
            </w:pPr>
          </w:p>
        </w:tc>
        <w:tc>
          <w:tcPr>
            <w:tcW w:w="1175" w:type="dxa"/>
            <w:vMerge w:val="continue"/>
            <w:shd w:val="clear" w:color="auto" w:fill="auto"/>
          </w:tcPr>
          <w:p>
            <w:pPr>
              <w:rPr>
                <w:rFonts w:ascii="宋体" w:hAnsi="宋体" w:cs="宋体"/>
                <w:color w:val="000000"/>
                <w:kern w:val="0"/>
                <w:sz w:val="20"/>
                <w:szCs w:val="20"/>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2.流利得体的口语表达能力。</w:t>
            </w:r>
          </w:p>
        </w:tc>
        <w:tc>
          <w:tcPr>
            <w:tcW w:w="2199"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听说教学</w:t>
            </w:r>
          </w:p>
        </w:tc>
        <w:tc>
          <w:tcPr>
            <w:tcW w:w="1276"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tcPr>
          <w:p>
            <w:pPr>
              <w:rPr>
                <w:rFonts w:ascii="宋体" w:hAnsi="宋体" w:cs="宋体"/>
                <w:color w:val="000000"/>
                <w:kern w:val="0"/>
                <w:sz w:val="20"/>
                <w:szCs w:val="20"/>
              </w:rPr>
            </w:pPr>
            <w:r>
              <w:rPr>
                <w:rFonts w:ascii="宋体" w:hAnsi="宋体" w:cs="宋体"/>
                <w:color w:val="000000"/>
                <w:kern w:val="0"/>
                <w:sz w:val="20"/>
                <w:szCs w:val="20"/>
              </w:rPr>
              <w:t>LO81</w:t>
            </w:r>
            <w:r>
              <w:rPr>
                <w:rFonts w:hint="eastAsia" w:ascii="宋体" w:hAnsi="宋体" w:cs="宋体"/>
                <w:color w:val="000000"/>
                <w:kern w:val="0"/>
                <w:sz w:val="20"/>
                <w:szCs w:val="20"/>
              </w:rPr>
              <w:t>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 xml:space="preserve">在商务谈判中具有跨文化交际能力。 </w:t>
            </w:r>
          </w:p>
        </w:tc>
        <w:tc>
          <w:tcPr>
            <w:tcW w:w="2199"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讲授、讨论、小组陈述</w:t>
            </w:r>
          </w:p>
        </w:tc>
        <w:tc>
          <w:tcPr>
            <w:tcW w:w="1276"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案例解读</w:t>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4216"/>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2" w:type="dxa"/>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4216"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4477"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1</w:t>
            </w:r>
          </w:p>
        </w:tc>
        <w:tc>
          <w:tcPr>
            <w:tcW w:w="4216" w:type="dxa"/>
          </w:tcPr>
          <w:p>
            <w:pPr>
              <w:rPr>
                <w:rFonts w:ascii="Times New Roman" w:hAnsi="Times New Roman"/>
                <w:sz w:val="20"/>
                <w:szCs w:val="20"/>
              </w:rPr>
            </w:pPr>
            <w:r>
              <w:rPr>
                <w:rFonts w:ascii="Times New Roman" w:hAnsi="Times New Roman"/>
                <w:sz w:val="20"/>
                <w:szCs w:val="20"/>
              </w:rPr>
              <w:t xml:space="preserve">Unit 1  </w:t>
            </w:r>
            <w:r>
              <w:rPr>
                <w:rFonts w:hint="eastAsia" w:ascii="Times New Roman" w:hAnsi="Times New Roman"/>
                <w:sz w:val="20"/>
                <w:szCs w:val="20"/>
              </w:rPr>
              <w:t>face to face</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 xml:space="preserve">: </w:t>
            </w:r>
            <w:r>
              <w:rPr>
                <w:rFonts w:hint="eastAsia" w:eastAsia="黑体"/>
                <w:sz w:val="18"/>
                <w:szCs w:val="18"/>
              </w:rPr>
              <w:t>conversations in different situations （运用）</w:t>
            </w:r>
          </w:p>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能力</w:t>
            </w:r>
            <w:r>
              <w:rPr>
                <w:rFonts w:eastAsia="黑体"/>
                <w:sz w:val="18"/>
                <w:szCs w:val="18"/>
              </w:rPr>
              <w:t xml:space="preserve">: </w:t>
            </w:r>
            <w:r>
              <w:rPr>
                <w:rFonts w:hint="eastAsia" w:eastAsia="黑体"/>
                <w:sz w:val="18"/>
                <w:szCs w:val="18"/>
              </w:rPr>
              <w:t>meeting business partners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2</w:t>
            </w:r>
          </w:p>
        </w:tc>
        <w:tc>
          <w:tcPr>
            <w:tcW w:w="4216" w:type="dxa"/>
          </w:tcPr>
          <w:p>
            <w:pPr>
              <w:rPr>
                <w:rFonts w:ascii="Times New Roman" w:hAnsi="Times New Roman"/>
                <w:sz w:val="20"/>
                <w:szCs w:val="20"/>
              </w:rPr>
            </w:pPr>
            <w:r>
              <w:rPr>
                <w:rFonts w:ascii="Times New Roman" w:hAnsi="Times New Roman"/>
                <w:sz w:val="20"/>
                <w:szCs w:val="20"/>
              </w:rPr>
              <w:t xml:space="preserve">Unit 1  </w:t>
            </w:r>
            <w:r>
              <w:rPr>
                <w:rFonts w:hint="eastAsia" w:ascii="Times New Roman" w:hAnsi="Times New Roman"/>
                <w:sz w:val="20"/>
                <w:szCs w:val="20"/>
              </w:rPr>
              <w:t>face to face</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 xml:space="preserve">: </w:t>
            </w:r>
            <w:r>
              <w:rPr>
                <w:rFonts w:hint="eastAsia" w:eastAsia="黑体"/>
                <w:sz w:val="18"/>
                <w:szCs w:val="18"/>
              </w:rPr>
              <w:t>meeting customers （运用）</w:t>
            </w:r>
          </w:p>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能力</w:t>
            </w:r>
            <w:r>
              <w:rPr>
                <w:rFonts w:eastAsia="黑体"/>
                <w:sz w:val="18"/>
                <w:szCs w:val="18"/>
              </w:rPr>
              <w:t>: introduction letter</w:t>
            </w:r>
            <w:r>
              <w:rPr>
                <w:rFonts w:hint="eastAsia" w:eastAsia="黑体"/>
                <w:sz w:val="18"/>
                <w:szCs w:val="18"/>
              </w:rPr>
              <w:t xml:space="preserve">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2"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rPr>
              <w:t>3</w:t>
            </w:r>
          </w:p>
        </w:tc>
        <w:tc>
          <w:tcPr>
            <w:tcW w:w="4216" w:type="dxa"/>
          </w:tcPr>
          <w:p>
            <w:pPr>
              <w:rPr>
                <w:rFonts w:ascii="Times New Roman" w:hAnsi="Times New Roman"/>
                <w:sz w:val="20"/>
                <w:szCs w:val="20"/>
              </w:rPr>
            </w:pPr>
            <w:r>
              <w:rPr>
                <w:rFonts w:ascii="Times New Roman" w:hAnsi="Times New Roman"/>
                <w:sz w:val="20"/>
                <w:szCs w:val="20"/>
              </w:rPr>
              <w:t xml:space="preserve">Unit 2  </w:t>
            </w:r>
            <w:r>
              <w:rPr>
                <w:rFonts w:hint="eastAsia" w:ascii="Times New Roman" w:hAnsi="Times New Roman"/>
                <w:sz w:val="20"/>
                <w:szCs w:val="20"/>
              </w:rPr>
              <w:t>business telephoning</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dos and dont</w:t>
            </w:r>
            <w:r>
              <w:rPr>
                <w:rFonts w:eastAsia="黑体"/>
                <w:sz w:val="18"/>
                <w:szCs w:val="18"/>
              </w:rPr>
              <w:t>’</w:t>
            </w:r>
            <w:r>
              <w:rPr>
                <w:rFonts w:hint="eastAsia" w:eastAsia="黑体"/>
                <w:sz w:val="18"/>
                <w:szCs w:val="18"/>
              </w:rPr>
              <w:t>s of phone calls（运用）</w:t>
            </w:r>
          </w:p>
          <w:p>
            <w:pPr>
              <w:autoSpaceDE w:val="0"/>
              <w:autoSpaceDN w:val="0"/>
              <w:adjustRightInd w:val="0"/>
              <w:snapToGrid w:val="0"/>
              <w:spacing w:before="31" w:beforeLines="10" w:after="31" w:afterLines="10"/>
              <w:jc w:val="left"/>
              <w:rPr>
                <w:sz w:val="18"/>
                <w:szCs w:val="18"/>
                <w:lang w:val="zh-CN"/>
              </w:rPr>
            </w:pPr>
            <w:r>
              <w:rPr>
                <w:rFonts w:hint="eastAsia" w:ascii="宋体" w:hAnsi="宋体"/>
                <w:sz w:val="18"/>
                <w:szCs w:val="18"/>
              </w:rPr>
              <w:t>能力</w:t>
            </w:r>
            <w:r>
              <w:rPr>
                <w:rFonts w:eastAsia="黑体"/>
                <w:sz w:val="18"/>
                <w:szCs w:val="18"/>
              </w:rPr>
              <w:t xml:space="preserve">: </w:t>
            </w:r>
            <w:r>
              <w:rPr>
                <w:rFonts w:hint="eastAsia" w:eastAsia="黑体"/>
                <w:sz w:val="18"/>
                <w:szCs w:val="18"/>
              </w:rPr>
              <w:t>r</w:t>
            </w:r>
            <w:r>
              <w:rPr>
                <w:rFonts w:eastAsia="黑体"/>
                <w:sz w:val="18"/>
                <w:szCs w:val="18"/>
              </w:rPr>
              <w:t>eservation</w:t>
            </w:r>
            <w:r>
              <w:rPr>
                <w:rFonts w:hint="eastAsia" w:eastAsia="黑体"/>
                <w:sz w:val="18"/>
                <w:szCs w:val="18"/>
              </w:rPr>
              <w:t xml:space="preserve">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4</w:t>
            </w:r>
          </w:p>
        </w:tc>
        <w:tc>
          <w:tcPr>
            <w:tcW w:w="4216" w:type="dxa"/>
          </w:tcPr>
          <w:p>
            <w:pPr>
              <w:rPr>
                <w:rFonts w:ascii="Times New Roman" w:hAnsi="Times New Roman"/>
                <w:sz w:val="20"/>
                <w:szCs w:val="20"/>
              </w:rPr>
            </w:pPr>
            <w:r>
              <w:rPr>
                <w:rFonts w:ascii="Times New Roman" w:hAnsi="Times New Roman"/>
                <w:sz w:val="20"/>
                <w:szCs w:val="20"/>
              </w:rPr>
              <w:t xml:space="preserve">Unit 2  </w:t>
            </w:r>
            <w:r>
              <w:rPr>
                <w:rFonts w:hint="eastAsia" w:ascii="Times New Roman" w:hAnsi="Times New Roman"/>
                <w:sz w:val="20"/>
                <w:szCs w:val="20"/>
              </w:rPr>
              <w:t>business telephoning</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 xml:space="preserve">:: </w:t>
            </w:r>
            <w:r>
              <w:rPr>
                <w:rFonts w:hint="eastAsia" w:eastAsia="黑体"/>
                <w:sz w:val="18"/>
                <w:szCs w:val="18"/>
              </w:rPr>
              <w:t>offer（运用）</w:t>
            </w:r>
          </w:p>
          <w:p>
            <w:pPr>
              <w:autoSpaceDE w:val="0"/>
              <w:autoSpaceDN w:val="0"/>
              <w:adjustRightInd w:val="0"/>
              <w:snapToGrid w:val="0"/>
              <w:spacing w:before="31" w:beforeLines="10" w:after="31" w:afterLines="10"/>
              <w:jc w:val="left"/>
              <w:rPr>
                <w:rFonts w:ascii="宋体" w:hAnsi="宋体"/>
                <w:sz w:val="18"/>
                <w:szCs w:val="18"/>
              </w:rPr>
            </w:pPr>
            <w:r>
              <w:rPr>
                <w:rFonts w:hint="eastAsia" w:ascii="宋体" w:hAnsi="宋体"/>
                <w:sz w:val="18"/>
                <w:szCs w:val="18"/>
              </w:rPr>
              <w:t>能力</w:t>
            </w:r>
            <w:r>
              <w:rPr>
                <w:rFonts w:eastAsia="黑体"/>
                <w:sz w:val="18"/>
                <w:szCs w:val="18"/>
              </w:rPr>
              <w:t xml:space="preserve">: </w:t>
            </w:r>
            <w:r>
              <w:rPr>
                <w:rFonts w:hint="eastAsia" w:eastAsia="黑体"/>
                <w:sz w:val="18"/>
                <w:szCs w:val="18"/>
              </w:rPr>
              <w:t>b</w:t>
            </w:r>
            <w:r>
              <w:rPr>
                <w:rFonts w:eastAsia="黑体"/>
                <w:sz w:val="18"/>
                <w:szCs w:val="18"/>
              </w:rPr>
              <w:t>usiness travel etiquette</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5</w:t>
            </w:r>
          </w:p>
        </w:tc>
        <w:tc>
          <w:tcPr>
            <w:tcW w:w="4216" w:type="dxa"/>
          </w:tcPr>
          <w:p>
            <w:pPr>
              <w:rPr>
                <w:rFonts w:ascii="Times New Roman" w:hAnsi="Times New Roman"/>
                <w:b/>
                <w:sz w:val="20"/>
                <w:szCs w:val="20"/>
              </w:rPr>
            </w:pPr>
            <w:r>
              <w:rPr>
                <w:rFonts w:hint="eastAsia" w:ascii="Times New Roman" w:hAnsi="Times New Roman"/>
                <w:sz w:val="20"/>
                <w:szCs w:val="20"/>
              </w:rPr>
              <w:t>Unit 3  negotiating and signing up a contract</w:t>
            </w:r>
          </w:p>
        </w:tc>
        <w:tc>
          <w:tcPr>
            <w:tcW w:w="4477" w:type="dxa"/>
            <w:vAlign w:val="center"/>
          </w:tcPr>
          <w:p>
            <w:pPr>
              <w:ind w:left="720" w:hanging="720" w:hangingChars="400"/>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free talk before negotiating（运用）</w:t>
            </w:r>
          </w:p>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能力</w:t>
            </w:r>
            <w:r>
              <w:rPr>
                <w:rFonts w:eastAsia="黑体"/>
                <w:sz w:val="18"/>
                <w:szCs w:val="18"/>
              </w:rPr>
              <w:t>:</w:t>
            </w:r>
            <w:r>
              <w:rPr>
                <w:rFonts w:hint="eastAsia" w:eastAsia="黑体"/>
                <w:sz w:val="18"/>
                <w:szCs w:val="18"/>
              </w:rPr>
              <w:t>terms and conditions of the contract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6</w:t>
            </w:r>
          </w:p>
        </w:tc>
        <w:tc>
          <w:tcPr>
            <w:tcW w:w="4216" w:type="dxa"/>
          </w:tcPr>
          <w:p>
            <w:pPr>
              <w:rPr>
                <w:rFonts w:ascii="Times New Roman" w:hAnsi="Times New Roman"/>
                <w:sz w:val="20"/>
                <w:szCs w:val="20"/>
              </w:rPr>
            </w:pPr>
            <w:r>
              <w:rPr>
                <w:rFonts w:hint="eastAsia" w:ascii="Times New Roman" w:hAnsi="Times New Roman"/>
                <w:sz w:val="20"/>
                <w:szCs w:val="20"/>
              </w:rPr>
              <w:t>Unit 3  negotiating and signing up a contract</w:t>
            </w:r>
          </w:p>
        </w:tc>
        <w:tc>
          <w:tcPr>
            <w:tcW w:w="4477" w:type="dxa"/>
            <w:vAlign w:val="center"/>
          </w:tcPr>
          <w:p>
            <w:pPr>
              <w:ind w:left="720" w:hanging="720" w:hangingChars="400"/>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c</w:t>
            </w:r>
            <w:r>
              <w:rPr>
                <w:rFonts w:eastAsia="黑体"/>
                <w:sz w:val="18"/>
                <w:szCs w:val="18"/>
              </w:rPr>
              <w:t>ultures in negotiating</w:t>
            </w:r>
            <w:r>
              <w:rPr>
                <w:rFonts w:hint="eastAsia" w:eastAsia="黑体"/>
                <w:sz w:val="18"/>
                <w:szCs w:val="18"/>
              </w:rPr>
              <w:t>（运用）</w:t>
            </w:r>
          </w:p>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能力</w:t>
            </w:r>
            <w:r>
              <w:rPr>
                <w:rFonts w:eastAsia="黑体"/>
                <w:sz w:val="18"/>
                <w:szCs w:val="18"/>
              </w:rPr>
              <w:t xml:space="preserve">: </w:t>
            </w:r>
            <w:r>
              <w:rPr>
                <w:rFonts w:hint="eastAsia" w:eastAsia="黑体"/>
                <w:sz w:val="18"/>
                <w:szCs w:val="18"/>
              </w:rPr>
              <w:t>round-table negotiations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rPr>
              <w:t>7</w:t>
            </w:r>
          </w:p>
        </w:tc>
        <w:tc>
          <w:tcPr>
            <w:tcW w:w="4216" w:type="dxa"/>
          </w:tcPr>
          <w:p>
            <w:pPr>
              <w:rPr>
                <w:rFonts w:ascii="Times New Roman" w:hAnsi="Times New Roman"/>
                <w:sz w:val="20"/>
                <w:szCs w:val="20"/>
              </w:rPr>
            </w:pPr>
            <w:r>
              <w:rPr>
                <w:rFonts w:ascii="Times New Roman" w:hAnsi="Times New Roman"/>
                <w:sz w:val="20"/>
                <w:szCs w:val="20"/>
              </w:rPr>
              <w:t xml:space="preserve">Unit </w:t>
            </w:r>
            <w:r>
              <w:rPr>
                <w:rFonts w:hint="eastAsia" w:ascii="Times New Roman" w:hAnsi="Times New Roman"/>
                <w:sz w:val="20"/>
                <w:szCs w:val="20"/>
              </w:rPr>
              <w:t>4  packaging and transportation</w:t>
            </w:r>
            <w:r>
              <w:rPr>
                <w:rFonts w:ascii="Times New Roman" w:hAnsi="Times New Roman"/>
                <w:sz w:val="20"/>
                <w:szCs w:val="20"/>
              </w:rPr>
              <w:t xml:space="preserve">  </w:t>
            </w:r>
          </w:p>
        </w:tc>
        <w:tc>
          <w:tcPr>
            <w:tcW w:w="4477" w:type="dxa"/>
            <w:vAlign w:val="center"/>
          </w:tcPr>
          <w:p>
            <w:pPr>
              <w:ind w:left="720" w:hanging="720" w:hangingChars="400"/>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ways of packaging（运用）</w:t>
            </w:r>
          </w:p>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能力</w:t>
            </w:r>
            <w:r>
              <w:rPr>
                <w:rFonts w:eastAsia="黑体"/>
                <w:sz w:val="18"/>
                <w:szCs w:val="18"/>
              </w:rPr>
              <w:t xml:space="preserve">: </w:t>
            </w:r>
            <w:r>
              <w:rPr>
                <w:rFonts w:hint="eastAsia" w:eastAsia="黑体"/>
                <w:sz w:val="18"/>
                <w:szCs w:val="18"/>
              </w:rPr>
              <w:t>delivery（综合）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8</w:t>
            </w:r>
          </w:p>
        </w:tc>
        <w:tc>
          <w:tcPr>
            <w:tcW w:w="4216" w:type="dxa"/>
          </w:tcPr>
          <w:p>
            <w:pPr>
              <w:rPr>
                <w:rFonts w:ascii="Times New Roman" w:hAnsi="Times New Roman"/>
                <w:sz w:val="20"/>
                <w:szCs w:val="20"/>
              </w:rPr>
            </w:pPr>
            <w:r>
              <w:rPr>
                <w:rFonts w:ascii="Times New Roman" w:hAnsi="Times New Roman"/>
                <w:sz w:val="20"/>
                <w:szCs w:val="20"/>
              </w:rPr>
              <w:t xml:space="preserve">Unit </w:t>
            </w:r>
            <w:r>
              <w:rPr>
                <w:rFonts w:hint="eastAsia" w:ascii="Times New Roman" w:hAnsi="Times New Roman"/>
                <w:sz w:val="20"/>
                <w:szCs w:val="20"/>
              </w:rPr>
              <w:t>4  packaging and transportation</w:t>
            </w:r>
            <w:r>
              <w:rPr>
                <w:rFonts w:ascii="Times New Roman" w:hAnsi="Times New Roman"/>
                <w:sz w:val="20"/>
                <w:szCs w:val="20"/>
              </w:rPr>
              <w:t xml:space="preserve">  </w:t>
            </w:r>
          </w:p>
        </w:tc>
        <w:tc>
          <w:tcPr>
            <w:tcW w:w="4477" w:type="dxa"/>
            <w:vAlign w:val="center"/>
          </w:tcPr>
          <w:p>
            <w:pPr>
              <w:ind w:left="720" w:hanging="720" w:hangingChars="400"/>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shipment（运用）</w:t>
            </w:r>
          </w:p>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能力</w:t>
            </w:r>
            <w:r>
              <w:rPr>
                <w:rFonts w:eastAsia="黑体"/>
                <w:sz w:val="18"/>
                <w:szCs w:val="18"/>
              </w:rPr>
              <w:t xml:space="preserve">: </w:t>
            </w:r>
            <w:r>
              <w:rPr>
                <w:rFonts w:hint="eastAsia" w:eastAsia="黑体"/>
                <w:sz w:val="18"/>
                <w:szCs w:val="18"/>
              </w:rPr>
              <w:t>transportation（综合）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9</w:t>
            </w:r>
          </w:p>
        </w:tc>
        <w:tc>
          <w:tcPr>
            <w:tcW w:w="4216" w:type="dxa"/>
          </w:tcPr>
          <w:p>
            <w:pPr>
              <w:rPr>
                <w:rFonts w:ascii="Times New Roman" w:hAnsi="Times New Roman"/>
                <w:sz w:val="20"/>
                <w:szCs w:val="20"/>
              </w:rPr>
            </w:pPr>
            <w:r>
              <w:rPr>
                <w:rFonts w:ascii="Times New Roman" w:hAnsi="Times New Roman"/>
                <w:sz w:val="20"/>
                <w:szCs w:val="20"/>
              </w:rPr>
              <w:t xml:space="preserve">Unit 5  </w:t>
            </w:r>
            <w:r>
              <w:rPr>
                <w:rFonts w:hint="eastAsia" w:ascii="Times New Roman" w:hAnsi="Times New Roman"/>
                <w:sz w:val="20"/>
                <w:szCs w:val="20"/>
              </w:rPr>
              <w:t>money matters</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payment modes（运用）</w:t>
            </w:r>
          </w:p>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能力</w:t>
            </w:r>
            <w:r>
              <w:rPr>
                <w:rFonts w:eastAsia="黑体"/>
                <w:sz w:val="18"/>
                <w:szCs w:val="18"/>
              </w:rPr>
              <w:t xml:space="preserve">: </w:t>
            </w:r>
            <w:r>
              <w:rPr>
                <w:rFonts w:hint="eastAsia" w:eastAsia="黑体"/>
                <w:sz w:val="18"/>
                <w:szCs w:val="18"/>
              </w:rPr>
              <w:t>d</w:t>
            </w:r>
            <w:r>
              <w:rPr>
                <w:rFonts w:eastAsia="黑体"/>
                <w:sz w:val="18"/>
                <w:szCs w:val="18"/>
              </w:rPr>
              <w:t>iscussing about EXPENSE REPORTS</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10</w:t>
            </w:r>
          </w:p>
        </w:tc>
        <w:tc>
          <w:tcPr>
            <w:tcW w:w="4216" w:type="dxa"/>
          </w:tcPr>
          <w:p>
            <w:pPr>
              <w:rPr>
                <w:rFonts w:ascii="Times New Roman" w:hAnsi="Times New Roman"/>
                <w:sz w:val="20"/>
                <w:szCs w:val="20"/>
              </w:rPr>
            </w:pPr>
            <w:r>
              <w:rPr>
                <w:rFonts w:ascii="Times New Roman" w:hAnsi="Times New Roman"/>
                <w:sz w:val="20"/>
                <w:szCs w:val="20"/>
              </w:rPr>
              <w:t xml:space="preserve">Unit 5  </w:t>
            </w:r>
            <w:r>
              <w:rPr>
                <w:rFonts w:hint="eastAsia" w:ascii="Times New Roman" w:hAnsi="Times New Roman"/>
                <w:sz w:val="20"/>
                <w:szCs w:val="20"/>
              </w:rPr>
              <w:t>money matters</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how to save money（运用）</w:t>
            </w:r>
          </w:p>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能力</w:t>
            </w:r>
            <w:r>
              <w:rPr>
                <w:rFonts w:eastAsia="黑体"/>
                <w:sz w:val="18"/>
                <w:szCs w:val="18"/>
              </w:rPr>
              <w:t xml:space="preserve">: </w:t>
            </w:r>
            <w:r>
              <w:rPr>
                <w:rFonts w:hint="eastAsia" w:eastAsia="黑体"/>
                <w:sz w:val="18"/>
                <w:szCs w:val="18"/>
              </w:rPr>
              <w:t>chasing payment（综合）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11</w:t>
            </w:r>
          </w:p>
        </w:tc>
        <w:tc>
          <w:tcPr>
            <w:tcW w:w="4216" w:type="dxa"/>
          </w:tcPr>
          <w:p>
            <w:pPr>
              <w:rPr>
                <w:rFonts w:ascii="Times New Roman" w:hAnsi="Times New Roman"/>
                <w:sz w:val="20"/>
                <w:szCs w:val="20"/>
              </w:rPr>
            </w:pPr>
            <w:r>
              <w:rPr>
                <w:rFonts w:ascii="Times New Roman" w:hAnsi="Times New Roman"/>
                <w:sz w:val="20"/>
                <w:szCs w:val="20"/>
              </w:rPr>
              <w:t xml:space="preserve">Unit 6  </w:t>
            </w:r>
            <w:r>
              <w:rPr>
                <w:rFonts w:hint="eastAsia" w:ascii="Times New Roman" w:hAnsi="Times New Roman"/>
                <w:sz w:val="20"/>
                <w:szCs w:val="20"/>
              </w:rPr>
              <w:t>handling problems</w:t>
            </w:r>
          </w:p>
        </w:tc>
        <w:tc>
          <w:tcPr>
            <w:tcW w:w="4477" w:type="dxa"/>
            <w:vAlign w:val="center"/>
          </w:tcPr>
          <w:p>
            <w:pPr>
              <w:ind w:left="810" w:hanging="810" w:hangingChars="450"/>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poor quality of goods （运用）</w:t>
            </w:r>
          </w:p>
          <w:p>
            <w:pPr>
              <w:autoSpaceDE w:val="0"/>
              <w:autoSpaceDN w:val="0"/>
              <w:adjustRightInd w:val="0"/>
              <w:snapToGrid w:val="0"/>
              <w:spacing w:before="31" w:beforeLines="10" w:after="31" w:afterLines="10"/>
              <w:rPr>
                <w:rFonts w:eastAsia="黑体"/>
                <w:sz w:val="18"/>
                <w:szCs w:val="18"/>
              </w:rPr>
            </w:pPr>
            <w:r>
              <w:rPr>
                <w:rFonts w:hint="eastAsia" w:ascii="宋体" w:hAnsi="宋体"/>
                <w:sz w:val="18"/>
                <w:szCs w:val="18"/>
              </w:rPr>
              <w:t>能力</w:t>
            </w:r>
            <w:r>
              <w:rPr>
                <w:rFonts w:ascii="宋体" w:hAnsi="宋体"/>
                <w:sz w:val="18"/>
                <w:szCs w:val="18"/>
              </w:rPr>
              <w:t>:</w:t>
            </w:r>
            <w:r>
              <w:t xml:space="preserve"> </w:t>
            </w:r>
            <w:r>
              <w:rPr>
                <w:rFonts w:eastAsia="黑体"/>
                <w:sz w:val="18"/>
                <w:szCs w:val="18"/>
              </w:rPr>
              <w:t>Complaining about the delivery delay</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12</w:t>
            </w:r>
          </w:p>
        </w:tc>
        <w:tc>
          <w:tcPr>
            <w:tcW w:w="4216" w:type="dxa"/>
          </w:tcPr>
          <w:p>
            <w:pPr>
              <w:rPr>
                <w:rFonts w:ascii="Times New Roman" w:hAnsi="Times New Roman"/>
                <w:sz w:val="20"/>
                <w:szCs w:val="20"/>
              </w:rPr>
            </w:pPr>
            <w:r>
              <w:rPr>
                <w:rFonts w:ascii="Times New Roman" w:hAnsi="Times New Roman"/>
                <w:sz w:val="20"/>
                <w:szCs w:val="20"/>
              </w:rPr>
              <w:t xml:space="preserve">Unit 6  </w:t>
            </w:r>
            <w:r>
              <w:rPr>
                <w:rFonts w:hint="eastAsia" w:ascii="Times New Roman" w:hAnsi="Times New Roman"/>
                <w:sz w:val="20"/>
                <w:szCs w:val="20"/>
              </w:rPr>
              <w:t>handling problems</w:t>
            </w:r>
          </w:p>
        </w:tc>
        <w:tc>
          <w:tcPr>
            <w:tcW w:w="4477" w:type="dxa"/>
            <w:vAlign w:val="center"/>
          </w:tcPr>
          <w:p>
            <w:pPr>
              <w:ind w:left="810" w:hanging="810" w:hangingChars="450"/>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complaint letter （运用）</w:t>
            </w:r>
          </w:p>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能力</w:t>
            </w:r>
            <w:r>
              <w:rPr>
                <w:rFonts w:ascii="宋体" w:hAnsi="宋体"/>
                <w:sz w:val="18"/>
                <w:szCs w:val="18"/>
              </w:rPr>
              <w:t>:</w:t>
            </w:r>
            <w:r>
              <w:rPr>
                <w:rFonts w:hint="eastAsia" w:eastAsia="黑体"/>
                <w:sz w:val="18"/>
                <w:szCs w:val="18"/>
              </w:rPr>
              <w:t>mistakes in delivery（综合）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13</w:t>
            </w:r>
          </w:p>
        </w:tc>
        <w:tc>
          <w:tcPr>
            <w:tcW w:w="4216" w:type="dxa"/>
          </w:tcPr>
          <w:p>
            <w:pPr>
              <w:rPr>
                <w:rFonts w:ascii="Times New Roman" w:hAnsi="Times New Roman"/>
                <w:sz w:val="20"/>
                <w:szCs w:val="20"/>
              </w:rPr>
            </w:pPr>
            <w:r>
              <w:rPr>
                <w:rFonts w:hint="eastAsia" w:ascii="Times New Roman" w:hAnsi="Times New Roman"/>
                <w:sz w:val="20"/>
                <w:szCs w:val="20"/>
              </w:rPr>
              <w:t>Unit 7 production and dealing with orders</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new products promotion（运用）</w:t>
            </w:r>
          </w:p>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能力</w:t>
            </w:r>
            <w:r>
              <w:rPr>
                <w:rFonts w:eastAsia="黑体"/>
                <w:sz w:val="18"/>
                <w:szCs w:val="18"/>
              </w:rPr>
              <w:t xml:space="preserve">: </w:t>
            </w:r>
            <w:r>
              <w:rPr>
                <w:rFonts w:hint="eastAsia" w:eastAsia="黑体"/>
                <w:sz w:val="18"/>
                <w:szCs w:val="18"/>
              </w:rPr>
              <w:t>Requiry（综合）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14</w:t>
            </w:r>
          </w:p>
        </w:tc>
        <w:tc>
          <w:tcPr>
            <w:tcW w:w="4216" w:type="dxa"/>
          </w:tcPr>
          <w:p>
            <w:pPr>
              <w:rPr>
                <w:rFonts w:ascii="Times New Roman" w:hAnsi="Times New Roman"/>
                <w:sz w:val="20"/>
                <w:szCs w:val="20"/>
              </w:rPr>
            </w:pPr>
            <w:r>
              <w:rPr>
                <w:rFonts w:hint="eastAsia" w:ascii="Times New Roman" w:hAnsi="Times New Roman"/>
                <w:sz w:val="20"/>
                <w:szCs w:val="20"/>
              </w:rPr>
              <w:t>Unit 7 production and dealing with orders</w:t>
            </w:r>
          </w:p>
        </w:tc>
        <w:tc>
          <w:tcPr>
            <w:tcW w:w="4477" w:type="dxa"/>
            <w:vAlign w:val="center"/>
          </w:tcPr>
          <w:p>
            <w:pPr>
              <w:rPr>
                <w:rFonts w:eastAsia="黑体"/>
                <w:sz w:val="18"/>
                <w:szCs w:val="18"/>
              </w:rPr>
            </w:pPr>
            <w:r>
              <w:rPr>
                <w:rFonts w:hint="eastAsia" w:ascii="宋体" w:hAnsi="宋体"/>
                <w:sz w:val="18"/>
                <w:szCs w:val="18"/>
              </w:rPr>
              <w:t>知识点</w:t>
            </w:r>
            <w:r>
              <w:rPr>
                <w:rFonts w:eastAsia="黑体"/>
                <w:sz w:val="18"/>
                <w:szCs w:val="18"/>
              </w:rPr>
              <w:t>:</w:t>
            </w:r>
            <w:r>
              <w:rPr>
                <w:rFonts w:hint="eastAsia" w:eastAsia="黑体"/>
                <w:sz w:val="18"/>
                <w:szCs w:val="18"/>
              </w:rPr>
              <w:t xml:space="preserve"> offer（运用）</w:t>
            </w:r>
          </w:p>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能力</w:t>
            </w:r>
            <w:r>
              <w:rPr>
                <w:rFonts w:eastAsia="黑体"/>
                <w:sz w:val="18"/>
                <w:szCs w:val="18"/>
              </w:rPr>
              <w:t xml:space="preserve">: </w:t>
            </w:r>
            <w:r>
              <w:rPr>
                <w:rFonts w:hint="eastAsia" w:eastAsia="黑体"/>
                <w:sz w:val="18"/>
                <w:szCs w:val="18"/>
              </w:rPr>
              <w:t>processing orders（综合）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Pr>
          <w:p>
            <w:pPr>
              <w:ind w:firstLine="100" w:firstLineChars="50"/>
              <w:rPr>
                <w:rFonts w:ascii="Times New Roman" w:hAnsi="Times New Roman"/>
                <w:sz w:val="20"/>
                <w:szCs w:val="20"/>
              </w:rPr>
            </w:pPr>
            <w:r>
              <w:rPr>
                <w:rFonts w:ascii="Times New Roman" w:hAnsi="Times New Roman"/>
                <w:sz w:val="20"/>
                <w:szCs w:val="20"/>
              </w:rPr>
              <w:t>15</w:t>
            </w:r>
          </w:p>
        </w:tc>
        <w:tc>
          <w:tcPr>
            <w:tcW w:w="4216" w:type="dxa"/>
          </w:tcPr>
          <w:p>
            <w:pPr>
              <w:rPr>
                <w:rFonts w:ascii="Times New Roman" w:hAnsi="Times New Roman"/>
                <w:sz w:val="20"/>
                <w:szCs w:val="20"/>
              </w:rPr>
            </w:pPr>
            <w:r>
              <w:rPr>
                <w:rFonts w:ascii="Times New Roman" w:hAnsi="Times New Roman"/>
                <w:sz w:val="20"/>
                <w:szCs w:val="20"/>
              </w:rPr>
              <w:t>Oral Practice and Review</w:t>
            </w:r>
          </w:p>
        </w:tc>
        <w:tc>
          <w:tcPr>
            <w:tcW w:w="4477"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sz w:val="20"/>
                <w:szCs w:val="20"/>
              </w:rPr>
            </w:pPr>
            <w:r>
              <w:rPr>
                <w:rFonts w:hint="eastAsia" w:ascii="Times New Roman" w:hAnsi="Times New Roman"/>
                <w:sz w:val="20"/>
                <w:szCs w:val="20"/>
              </w:rPr>
              <w:t>16</w:t>
            </w:r>
          </w:p>
        </w:tc>
        <w:tc>
          <w:tcPr>
            <w:tcW w:w="4216" w:type="dxa"/>
          </w:tcPr>
          <w:p>
            <w:pPr>
              <w:rPr>
                <w:rFonts w:ascii="Times New Roman" w:hAnsi="Times New Roman"/>
                <w:sz w:val="20"/>
                <w:szCs w:val="20"/>
              </w:rPr>
            </w:pPr>
            <w:r>
              <w:rPr>
                <w:rFonts w:hint="eastAsia" w:ascii="Times New Roman" w:hAnsi="Times New Roman"/>
                <w:sz w:val="20"/>
                <w:szCs w:val="20"/>
              </w:rPr>
              <w:t>Final Test</w:t>
            </w:r>
          </w:p>
        </w:tc>
        <w:tc>
          <w:tcPr>
            <w:tcW w:w="4477" w:type="dxa"/>
            <w:vAlign w:val="center"/>
          </w:tcPr>
          <w:p>
            <w:pPr>
              <w:rPr>
                <w:rFonts w:ascii="宋体" w:hAnsi="宋体"/>
                <w:sz w:val="18"/>
                <w:szCs w:val="18"/>
              </w:rPr>
            </w:pP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216" w:type="dxa"/>
        <w:tblLayout w:type="fixed"/>
        <w:tblCellMar>
          <w:top w:w="0" w:type="dxa"/>
          <w:left w:w="108" w:type="dxa"/>
          <w:bottom w:w="0" w:type="dxa"/>
          <w:right w:w="108" w:type="dxa"/>
        </w:tblCellMar>
      </w:tblPr>
      <w:tblGrid>
        <w:gridCol w:w="540"/>
        <w:gridCol w:w="1620"/>
        <w:gridCol w:w="3240"/>
        <w:gridCol w:w="900"/>
        <w:gridCol w:w="1247"/>
        <w:gridCol w:w="1525"/>
      </w:tblGrid>
      <w:tr>
        <w:tblPrEx>
          <w:tblLayout w:type="fixed"/>
          <w:tblCellMar>
            <w:top w:w="0" w:type="dxa"/>
            <w:left w:w="108" w:type="dxa"/>
            <w:bottom w:w="0" w:type="dxa"/>
            <w:right w:w="108" w:type="dxa"/>
          </w:tblCellMar>
        </w:tblPrEx>
        <w:trPr>
          <w:trHeight w:val="340"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Times New Roman" w:cs="宋体"/>
                <w:kern w:val="0"/>
                <w:sz w:val="22"/>
                <w:lang w:val="zh-CN"/>
              </w:rPr>
            </w:pPr>
            <w:r>
              <w:rPr>
                <w:rFonts w:hint="eastAsia" w:ascii="宋体" w:hAnsi="Times New Roman" w:cs="宋体"/>
                <w:color w:val="993300"/>
                <w:kern w:val="0"/>
                <w:sz w:val="20"/>
                <w:szCs w:val="20"/>
                <w:lang w:val="zh-CN"/>
              </w:rPr>
              <w:t>序号</w:t>
            </w:r>
          </w:p>
        </w:tc>
        <w:tc>
          <w:tcPr>
            <w:tcW w:w="162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Times New Roman" w:cs="宋体"/>
                <w:kern w:val="0"/>
                <w:sz w:val="22"/>
                <w:lang w:val="zh-CN"/>
              </w:rPr>
            </w:pPr>
            <w:r>
              <w:rPr>
                <w:rFonts w:hint="eastAsia" w:ascii="宋体" w:hAnsi="Times New Roman" w:cs="宋体"/>
                <w:color w:val="993300"/>
                <w:kern w:val="0"/>
                <w:sz w:val="20"/>
                <w:szCs w:val="20"/>
                <w:lang w:val="zh-CN"/>
              </w:rPr>
              <w:t>实验名称</w:t>
            </w:r>
          </w:p>
        </w:tc>
        <w:tc>
          <w:tcPr>
            <w:tcW w:w="324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Times New Roman" w:cs="宋体"/>
                <w:kern w:val="0"/>
                <w:sz w:val="22"/>
                <w:lang w:val="zh-CN"/>
              </w:rPr>
            </w:pPr>
            <w:r>
              <w:rPr>
                <w:rFonts w:hint="eastAsia" w:ascii="宋体" w:hAnsi="Times New Roman" w:cs="宋体"/>
                <w:color w:val="993300"/>
                <w:kern w:val="0"/>
                <w:sz w:val="20"/>
                <w:szCs w:val="20"/>
                <w:lang w:val="zh-CN"/>
              </w:rPr>
              <w:t>主要内容</w:t>
            </w:r>
          </w:p>
        </w:tc>
        <w:tc>
          <w:tcPr>
            <w:tcW w:w="90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Times New Roman" w:cs="宋体"/>
                <w:color w:val="993300"/>
                <w:kern w:val="0"/>
                <w:sz w:val="20"/>
                <w:szCs w:val="20"/>
                <w:lang w:val="zh-CN"/>
              </w:rPr>
            </w:pPr>
            <w:r>
              <w:rPr>
                <w:rFonts w:hint="eastAsia" w:ascii="宋体" w:hAnsi="Times New Roman" w:cs="宋体"/>
                <w:color w:val="993300"/>
                <w:kern w:val="0"/>
                <w:sz w:val="20"/>
                <w:szCs w:val="20"/>
                <w:lang w:val="zh-CN"/>
              </w:rPr>
              <w:t>实验</w:t>
            </w:r>
          </w:p>
          <w:p>
            <w:pPr>
              <w:autoSpaceDE w:val="0"/>
              <w:autoSpaceDN w:val="0"/>
              <w:adjustRightInd w:val="0"/>
              <w:jc w:val="center"/>
              <w:rPr>
                <w:rFonts w:ascii="宋体" w:hAnsi="Times New Roman" w:cs="宋体"/>
                <w:kern w:val="0"/>
                <w:sz w:val="22"/>
                <w:lang w:val="zh-CN"/>
              </w:rPr>
            </w:pPr>
            <w:r>
              <w:rPr>
                <w:rFonts w:hint="eastAsia" w:ascii="宋体" w:hAnsi="Times New Roman" w:cs="宋体"/>
                <w:color w:val="993300"/>
                <w:kern w:val="0"/>
                <w:sz w:val="20"/>
                <w:szCs w:val="20"/>
                <w:lang w:val="zh-CN"/>
              </w:rPr>
              <w:t>时数</w:t>
            </w:r>
          </w:p>
        </w:tc>
        <w:tc>
          <w:tcPr>
            <w:tcW w:w="12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Times New Roman" w:cs="宋体"/>
                <w:kern w:val="0"/>
                <w:sz w:val="22"/>
                <w:lang w:val="zh-CN"/>
              </w:rPr>
            </w:pPr>
            <w:r>
              <w:rPr>
                <w:rFonts w:hint="eastAsia" w:ascii="宋体" w:hAnsi="Times New Roman" w:cs="宋体"/>
                <w:color w:val="993300"/>
                <w:kern w:val="0"/>
                <w:sz w:val="20"/>
                <w:szCs w:val="20"/>
                <w:lang w:val="zh-CN"/>
              </w:rPr>
              <w:t>实验类型</w:t>
            </w:r>
          </w:p>
        </w:tc>
        <w:tc>
          <w:tcPr>
            <w:tcW w:w="152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Times New Roman" w:cs="宋体"/>
                <w:kern w:val="0"/>
                <w:sz w:val="22"/>
                <w:lang w:val="zh-CN"/>
              </w:rPr>
            </w:pPr>
            <w:r>
              <w:rPr>
                <w:rFonts w:hint="eastAsia" w:ascii="宋体" w:hAnsi="Times New Roman" w:cs="宋体"/>
                <w:color w:val="993300"/>
                <w:kern w:val="0"/>
                <w:sz w:val="20"/>
                <w:szCs w:val="20"/>
                <w:lang w:val="zh-CN"/>
              </w:rPr>
              <w:t>备注</w:t>
            </w:r>
          </w:p>
        </w:tc>
      </w:tr>
      <w:tr>
        <w:tblPrEx>
          <w:tblLayout w:type="fixed"/>
          <w:tblCellMar>
            <w:top w:w="0" w:type="dxa"/>
            <w:left w:w="108" w:type="dxa"/>
            <w:bottom w:w="0" w:type="dxa"/>
            <w:right w:w="108" w:type="dxa"/>
          </w:tblCellMar>
        </w:tblPrEx>
        <w:trPr>
          <w:trHeight w:val="284"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r>
              <w:rPr>
                <w:rFonts w:hint="eastAsia" w:ascii="Times New Roman" w:hAnsi="Times New Roman"/>
                <w:sz w:val="20"/>
                <w:szCs w:val="20"/>
                <w:lang w:val="zh-CN"/>
              </w:rPr>
              <w:t>1</w:t>
            </w:r>
          </w:p>
        </w:tc>
        <w:tc>
          <w:tcPr>
            <w:tcW w:w="162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r>
              <w:rPr>
                <w:rFonts w:hint="eastAsia" w:ascii="Times New Roman" w:hAnsi="Times New Roman"/>
                <w:sz w:val="20"/>
                <w:szCs w:val="20"/>
              </w:rPr>
              <w:t>offer</w:t>
            </w:r>
          </w:p>
        </w:tc>
        <w:tc>
          <w:tcPr>
            <w:tcW w:w="324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rPr>
            </w:pPr>
            <w:r>
              <w:rPr>
                <w:rFonts w:hint="eastAsia" w:ascii="Times New Roman" w:hAnsi="Times New Roman"/>
                <w:sz w:val="20"/>
                <w:szCs w:val="20"/>
              </w:rPr>
              <w:t>Inquiry and offer; counter-offer</w:t>
            </w:r>
          </w:p>
          <w:p>
            <w:pPr>
              <w:rPr>
                <w:rFonts w:ascii="Times New Roman" w:hAnsi="Times New Roman"/>
                <w:sz w:val="20"/>
                <w:szCs w:val="20"/>
              </w:rPr>
            </w:pPr>
            <w:r>
              <w:rPr>
                <w:rFonts w:hint="eastAsia" w:ascii="Times New Roman" w:hAnsi="Times New Roman"/>
                <w:sz w:val="20"/>
                <w:szCs w:val="20"/>
              </w:rPr>
              <w:t>Make an order</w:t>
            </w:r>
          </w:p>
        </w:tc>
        <w:tc>
          <w:tcPr>
            <w:tcW w:w="90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rPr>
            </w:pPr>
            <w:r>
              <w:rPr>
                <w:rFonts w:hint="eastAsia" w:ascii="Times New Roman" w:hAnsi="Times New Roman"/>
                <w:sz w:val="20"/>
                <w:szCs w:val="20"/>
              </w:rPr>
              <w:t>8</w:t>
            </w:r>
          </w:p>
        </w:tc>
        <w:tc>
          <w:tcPr>
            <w:tcW w:w="1247"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r>
              <w:rPr>
                <w:rFonts w:hint="eastAsia" w:ascii="Times New Roman" w:hAnsi="Times New Roman"/>
                <w:sz w:val="20"/>
                <w:szCs w:val="20"/>
              </w:rPr>
              <w:t>compound</w:t>
            </w:r>
          </w:p>
        </w:tc>
        <w:tc>
          <w:tcPr>
            <w:tcW w:w="1525"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p>
        </w:tc>
      </w:tr>
      <w:tr>
        <w:tblPrEx>
          <w:tblLayout w:type="fixed"/>
          <w:tblCellMar>
            <w:top w:w="0" w:type="dxa"/>
            <w:left w:w="108" w:type="dxa"/>
            <w:bottom w:w="0" w:type="dxa"/>
            <w:right w:w="108" w:type="dxa"/>
          </w:tblCellMar>
        </w:tblPrEx>
        <w:trPr>
          <w:trHeight w:val="284"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r>
              <w:rPr>
                <w:rFonts w:hint="eastAsia" w:ascii="Times New Roman" w:hAnsi="Times New Roman"/>
                <w:sz w:val="20"/>
                <w:szCs w:val="20"/>
                <w:lang w:val="zh-CN"/>
              </w:rPr>
              <w:t>2</w:t>
            </w:r>
          </w:p>
        </w:tc>
        <w:tc>
          <w:tcPr>
            <w:tcW w:w="162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rPr>
            </w:pPr>
            <w:r>
              <w:rPr>
                <w:rFonts w:hint="eastAsia" w:ascii="Times New Roman" w:hAnsi="Times New Roman"/>
                <w:sz w:val="20"/>
                <w:szCs w:val="20"/>
              </w:rPr>
              <w:t>Terms and conditions</w:t>
            </w:r>
          </w:p>
        </w:tc>
        <w:tc>
          <w:tcPr>
            <w:tcW w:w="324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rPr>
            </w:pPr>
            <w:r>
              <w:rPr>
                <w:rFonts w:hint="eastAsia" w:ascii="Times New Roman" w:hAnsi="Times New Roman"/>
                <w:sz w:val="20"/>
                <w:szCs w:val="20"/>
              </w:rPr>
              <w:t>Payment</w:t>
            </w:r>
          </w:p>
          <w:p>
            <w:pPr>
              <w:rPr>
                <w:rFonts w:ascii="Times New Roman" w:hAnsi="Times New Roman"/>
                <w:sz w:val="20"/>
                <w:szCs w:val="20"/>
              </w:rPr>
            </w:pPr>
            <w:r>
              <w:rPr>
                <w:rFonts w:hint="eastAsia" w:ascii="Times New Roman" w:hAnsi="Times New Roman"/>
                <w:sz w:val="20"/>
                <w:szCs w:val="20"/>
              </w:rPr>
              <w:t>Deliver</w:t>
            </w:r>
          </w:p>
        </w:tc>
        <w:tc>
          <w:tcPr>
            <w:tcW w:w="900"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rPr>
            </w:pPr>
            <w:r>
              <w:rPr>
                <w:rFonts w:hint="eastAsia" w:ascii="Times New Roman" w:hAnsi="Times New Roman"/>
                <w:sz w:val="20"/>
                <w:szCs w:val="20"/>
              </w:rPr>
              <w:t>8</w:t>
            </w:r>
          </w:p>
        </w:tc>
        <w:tc>
          <w:tcPr>
            <w:tcW w:w="1247"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r>
              <w:rPr>
                <w:rFonts w:hint="eastAsia" w:ascii="Times New Roman" w:hAnsi="Times New Roman"/>
                <w:sz w:val="20"/>
                <w:szCs w:val="20"/>
              </w:rPr>
              <w:t>compound</w:t>
            </w:r>
          </w:p>
        </w:tc>
        <w:tc>
          <w:tcPr>
            <w:tcW w:w="1525" w:type="dxa"/>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 w:val="20"/>
                <w:szCs w:val="20"/>
                <w:lang w:val="zh-CN"/>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pPr>
            <w:r>
              <w:rPr>
                <w:rFonts w:hint="eastAsia"/>
              </w:rPr>
              <w:t>1</w:t>
            </w:r>
          </w:p>
        </w:tc>
        <w:tc>
          <w:tcPr>
            <w:tcW w:w="5103" w:type="dxa"/>
            <w:shd w:val="clear" w:color="auto" w:fill="auto"/>
          </w:tcPr>
          <w:p>
            <w:r>
              <w:rPr>
                <w:rFonts w:hint="eastAsia"/>
              </w:rPr>
              <w:t>期末考查（试卷）（50%客观 题，主要知识点；50%主观题，能力提升）</w:t>
            </w:r>
          </w:p>
        </w:tc>
        <w:tc>
          <w:tcPr>
            <w:tcW w:w="1843" w:type="dxa"/>
            <w:shd w:val="clear" w:color="auto" w:fill="auto"/>
          </w:tcPr>
          <w:p>
            <w:pPr>
              <w:ind w:firstLine="630" w:firstLineChars="300"/>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ind w:firstLine="735" w:firstLineChars="350"/>
              <w:rPr>
                <w:rFonts w:ascii="宋体" w:hAnsi="宋体" w:eastAsiaTheme="minorEastAsia"/>
                <w:bCs/>
                <w:color w:val="000000"/>
                <w:sz w:val="24"/>
                <w:szCs w:val="20"/>
              </w:rPr>
            </w:pPr>
            <w:r>
              <w:rPr>
                <w:rFonts w:hint="eastAsia" w:ascii="宋体" w:hAnsi="宋体" w:eastAsiaTheme="minorEastAsia"/>
                <w:bCs/>
                <w:color w:val="000000"/>
                <w:szCs w:val="20"/>
              </w:rPr>
              <w:t>X1</w:t>
            </w:r>
          </w:p>
        </w:tc>
        <w:tc>
          <w:tcPr>
            <w:tcW w:w="5103" w:type="dxa"/>
            <w:shd w:val="clear" w:color="auto" w:fill="auto"/>
          </w:tcPr>
          <w:p>
            <w:pPr>
              <w:rPr>
                <w:rFonts w:eastAsia="PMingLiU"/>
                <w:sz w:val="24"/>
                <w:szCs w:val="24"/>
                <w:lang w:eastAsia="zh-TW"/>
              </w:rPr>
            </w:pPr>
            <w:r>
              <w:rPr>
                <w:rFonts w:hint="eastAsia"/>
              </w:rPr>
              <w:t>课堂小测验</w:t>
            </w:r>
            <w:r>
              <w:rPr>
                <w:rFonts w:eastAsiaTheme="minorEastAsia"/>
              </w:rPr>
              <w:t>-1</w:t>
            </w:r>
            <w:r>
              <w:rPr>
                <w:rFonts w:hint="eastAsia"/>
              </w:rPr>
              <w:t>（阶段知识点的掌握）</w:t>
            </w:r>
          </w:p>
        </w:tc>
        <w:tc>
          <w:tcPr>
            <w:tcW w:w="1843"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ind w:firstLine="735" w:firstLineChars="350"/>
              <w:rPr>
                <w:rFonts w:ascii="宋体" w:hAnsi="宋体" w:eastAsiaTheme="minorEastAsia"/>
                <w:bCs/>
                <w:color w:val="000000"/>
                <w:sz w:val="24"/>
                <w:szCs w:val="20"/>
              </w:rPr>
            </w:pPr>
            <w:r>
              <w:rPr>
                <w:rFonts w:hint="eastAsia" w:ascii="宋体" w:hAnsi="宋体" w:eastAsiaTheme="minorEastAsia"/>
                <w:bCs/>
                <w:color w:val="000000"/>
                <w:szCs w:val="20"/>
              </w:rPr>
              <w:t>X2</w:t>
            </w:r>
          </w:p>
        </w:tc>
        <w:tc>
          <w:tcPr>
            <w:tcW w:w="5103" w:type="dxa"/>
            <w:shd w:val="clear" w:color="auto" w:fill="auto"/>
          </w:tcPr>
          <w:p>
            <w:pPr>
              <w:rPr>
                <w:rFonts w:eastAsia="PMingLiU"/>
                <w:sz w:val="24"/>
                <w:szCs w:val="24"/>
                <w:lang w:eastAsia="zh-TW"/>
              </w:rPr>
            </w:pPr>
            <w:r>
              <w:rPr>
                <w:rFonts w:hint="eastAsia"/>
              </w:rPr>
              <w:t>课堂小测验</w:t>
            </w:r>
            <w:r>
              <w:rPr>
                <w:rFonts w:eastAsiaTheme="minorEastAsia"/>
              </w:rPr>
              <w:t>-2</w:t>
            </w:r>
            <w:r>
              <w:rPr>
                <w:rFonts w:hint="eastAsia"/>
              </w:rPr>
              <w:t>（阶段知识点的掌握）</w:t>
            </w:r>
          </w:p>
        </w:tc>
        <w:tc>
          <w:tcPr>
            <w:tcW w:w="1843"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ind w:firstLine="735" w:firstLineChars="350"/>
              <w:rPr>
                <w:rFonts w:ascii="宋体" w:hAnsi="宋体" w:eastAsiaTheme="minorEastAsia"/>
                <w:bCs/>
                <w:color w:val="000000"/>
                <w:sz w:val="24"/>
                <w:szCs w:val="20"/>
              </w:rPr>
            </w:pPr>
            <w:r>
              <w:rPr>
                <w:rFonts w:hint="eastAsia" w:ascii="宋体" w:hAnsi="宋体" w:eastAsiaTheme="minorEastAsia"/>
                <w:bCs/>
                <w:color w:val="000000"/>
                <w:szCs w:val="20"/>
              </w:rPr>
              <w:t>X3</w:t>
            </w:r>
          </w:p>
        </w:tc>
        <w:tc>
          <w:tcPr>
            <w:tcW w:w="5103" w:type="dxa"/>
            <w:shd w:val="clear" w:color="auto" w:fill="auto"/>
          </w:tcPr>
          <w:p>
            <w:pPr>
              <w:rPr>
                <w:rFonts w:eastAsia="PMingLiU"/>
                <w:sz w:val="24"/>
                <w:szCs w:val="24"/>
                <w:lang w:eastAsia="zh-TW"/>
              </w:rPr>
            </w:pPr>
            <w:r>
              <w:rPr>
                <w:rFonts w:hint="eastAsia"/>
              </w:rPr>
              <w:t>活动策划与展示（知识在工作实践的运用）</w:t>
            </w:r>
          </w:p>
        </w:tc>
        <w:tc>
          <w:tcPr>
            <w:tcW w:w="1843" w:type="dxa"/>
            <w:shd w:val="clear" w:color="auto" w:fill="auto"/>
          </w:tcPr>
          <w:p>
            <w:pPr>
              <w:ind w:firstLine="630" w:firstLineChars="300"/>
              <w:rPr>
                <w:rFonts w:eastAsia="PMingLiU"/>
                <w:sz w:val="24"/>
                <w:szCs w:val="24"/>
                <w:lang w:eastAsia="zh-TW"/>
              </w:rPr>
            </w:pPr>
            <w:r>
              <w:rPr>
                <w:rFonts w:hint="eastAsia" w:ascii="宋体" w:hAnsi="宋体" w:eastAsiaTheme="minorEastAsia"/>
                <w:bCs/>
                <w:color w:val="000000"/>
                <w:szCs w:val="20"/>
              </w:rPr>
              <w:t>20%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lang w:eastAsia="zh-CN"/>
        </w:rPr>
        <w:t>冯修文</w:t>
      </w:r>
      <w:r>
        <w:rPr>
          <w:rFonts w:hint="eastAsia"/>
          <w:sz w:val="28"/>
          <w:szCs w:val="28"/>
        </w:rPr>
        <w:t xml:space="preserve">              系主任审核签名：</w:t>
      </w:r>
      <w:r>
        <w:rPr>
          <w:rFonts w:hint="eastAsia"/>
          <w:sz w:val="28"/>
          <w:szCs w:val="28"/>
          <w:lang w:eastAsia="zh-CN"/>
        </w:rPr>
        <w:t>徐磊</w:t>
      </w:r>
      <w:bookmarkStart w:id="1" w:name="_GoBack"/>
      <w:bookmarkEnd w:id="1"/>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201803</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PMingLiU">
    <w:panose1 w:val="02020300000000000000"/>
    <w:charset w:val="88"/>
    <w:family w:val="roman"/>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5536"/>
    <w:rsid w:val="00256B39"/>
    <w:rsid w:val="0026033C"/>
    <w:rsid w:val="002E3721"/>
    <w:rsid w:val="00313BBA"/>
    <w:rsid w:val="0032602E"/>
    <w:rsid w:val="003367AE"/>
    <w:rsid w:val="00380DDE"/>
    <w:rsid w:val="003B1258"/>
    <w:rsid w:val="004100B0"/>
    <w:rsid w:val="00414DBB"/>
    <w:rsid w:val="004722B7"/>
    <w:rsid w:val="00541CAF"/>
    <w:rsid w:val="005467DC"/>
    <w:rsid w:val="00553D03"/>
    <w:rsid w:val="005B2B6D"/>
    <w:rsid w:val="005B4B4E"/>
    <w:rsid w:val="00624FE1"/>
    <w:rsid w:val="00635AF4"/>
    <w:rsid w:val="00675F21"/>
    <w:rsid w:val="006F780E"/>
    <w:rsid w:val="007208D6"/>
    <w:rsid w:val="007B0C37"/>
    <w:rsid w:val="00850E8B"/>
    <w:rsid w:val="008B397C"/>
    <w:rsid w:val="008B47F4"/>
    <w:rsid w:val="00900019"/>
    <w:rsid w:val="0099063E"/>
    <w:rsid w:val="00A42B58"/>
    <w:rsid w:val="00A769B1"/>
    <w:rsid w:val="00A837D5"/>
    <w:rsid w:val="00AC340A"/>
    <w:rsid w:val="00AC4C45"/>
    <w:rsid w:val="00B03E81"/>
    <w:rsid w:val="00B46F21"/>
    <w:rsid w:val="00B511A5"/>
    <w:rsid w:val="00B736A7"/>
    <w:rsid w:val="00B7651F"/>
    <w:rsid w:val="00C56E09"/>
    <w:rsid w:val="00CB3843"/>
    <w:rsid w:val="00CF096B"/>
    <w:rsid w:val="00D9646F"/>
    <w:rsid w:val="00E16D30"/>
    <w:rsid w:val="00E33169"/>
    <w:rsid w:val="00E70904"/>
    <w:rsid w:val="00EF44B1"/>
    <w:rsid w:val="00F35AA0"/>
    <w:rsid w:val="00F72277"/>
    <w:rsid w:val="016E63C2"/>
    <w:rsid w:val="024B0C39"/>
    <w:rsid w:val="0A8128A6"/>
    <w:rsid w:val="0BF32A1B"/>
    <w:rsid w:val="10BD2C22"/>
    <w:rsid w:val="22987C80"/>
    <w:rsid w:val="24192CCC"/>
    <w:rsid w:val="39A66CD4"/>
    <w:rsid w:val="3CD52CE1"/>
    <w:rsid w:val="410F2E6A"/>
    <w:rsid w:val="4430136C"/>
    <w:rsid w:val="4AB0382B"/>
    <w:rsid w:val="569868B5"/>
    <w:rsid w:val="573E13EE"/>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554</Words>
  <Characters>3163</Characters>
  <Lines>26</Lines>
  <Paragraphs>7</Paragraphs>
  <TotalTime>0</TotalTime>
  <ScaleCrop>false</ScaleCrop>
  <LinksUpToDate>false</LinksUpToDate>
  <CharactersWithSpaces>3710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2018-03-23T02:30:10Z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