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654685</wp:posOffset>
                </wp:positionV>
                <wp:extent cx="2635250" cy="280670"/>
                <wp:effectExtent l="0" t="0" r="12700" b="5080"/>
                <wp:wrapThrough wrapText="bothSides">
                  <wp:wrapPolygon>
                    <wp:start x="0" y="0"/>
                    <wp:lineTo x="0" y="19841"/>
                    <wp:lineTo x="21392" y="19841"/>
                    <wp:lineTo x="21392" y="0"/>
                    <wp:lineTo x="0" y="0"/>
                  </wp:wrapPolygon>
                </wp:wrapThrough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pt;margin-top:51.55pt;height:22.1pt;width:207.5pt;mso-position-horizontal-relative:page;mso-position-vertical-relative:page;mso-wrap-distance-left:9pt;mso-wrap-distance-right:9pt;z-index:251659264;mso-width-relative:page;mso-height-relative:page;" fillcolor="#FFFFFF" filled="t" stroked="f" coordsize="21600,21600" wrapcoords="0 0 0 19841 21392 19841 21392 0 0 0" o:gfxdata="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qtlPdcAAAALAQAADwAAAAAAAAAB&#10;ACAAAAAiAAAAZHJzL2Rvd25yZXYueG1sUEsBAhQAFAAAAAgAh07iQAVNEvARAgAA8gM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sz w:val="28"/>
          <w:szCs w:val="30"/>
        </w:rPr>
        <w:t>市场营销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sz w:val="28"/>
          <w:szCs w:val="30"/>
        </w:rPr>
        <w:t>Marketing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>20</w:t>
      </w:r>
      <w:r>
        <w:rPr>
          <w:rFonts w:hint="eastAsia" w:cs="Times New Roman"/>
          <w:color w:val="000000"/>
          <w:sz w:val="20"/>
          <w:szCs w:val="20"/>
          <w:lang w:val="en-US" w:eastAsia="zh-CN"/>
        </w:rPr>
        <w:t>60136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面向专业：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新闻传播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学院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秘书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专业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课程性质：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院级选修课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开课院系：</w:t>
      </w:r>
      <w:r>
        <w:rPr>
          <w:rFonts w:hint="eastAsia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新闻传播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学院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秘书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系</w:t>
      </w:r>
    </w:p>
    <w:p>
      <w:pPr>
        <w:snapToGrid w:val="0"/>
        <w:spacing w:line="288" w:lineRule="auto"/>
        <w:ind w:firstLine="394" w:firstLineChars="196"/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</w:t>
      </w:r>
    </w:p>
    <w:p>
      <w:pPr>
        <w:snapToGrid w:val="0"/>
        <w:spacing w:line="288" w:lineRule="auto"/>
        <w:ind w:left="1473" w:leftChars="188" w:hanging="1078" w:hangingChars="539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教材</w:t>
      </w:r>
      <w:r>
        <w:rPr>
          <w:rFonts w:hint="eastAsia"/>
          <w:color w:val="000000"/>
          <w:sz w:val="20"/>
          <w:szCs w:val="20"/>
        </w:rPr>
        <w:t>【市场营销学</w:t>
      </w:r>
      <w:r>
        <w:rPr>
          <w:rFonts w:hint="eastAsia"/>
          <w:color w:val="000000"/>
          <w:sz w:val="20"/>
          <w:szCs w:val="20"/>
          <w:lang w:val="en-US" w:eastAsia="zh-CN"/>
        </w:rPr>
        <w:t>精要版</w:t>
      </w:r>
      <w:r>
        <w:rPr>
          <w:rFonts w:hint="eastAsia"/>
          <w:color w:val="000000"/>
          <w:sz w:val="20"/>
          <w:szCs w:val="20"/>
        </w:rPr>
        <w:t>（第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版），吴健安等，高等教育出版社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201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rFonts w:hint="eastAsia"/>
          <w:color w:val="000000"/>
          <w:sz w:val="20"/>
          <w:szCs w:val="20"/>
        </w:rPr>
        <w:t>版】</w:t>
      </w:r>
    </w:p>
    <w:p>
      <w:pPr>
        <w:snapToGrid w:val="0"/>
        <w:spacing w:line="288" w:lineRule="auto"/>
        <w:ind w:left="1519" w:leftChars="390" w:hanging="700" w:hangingChars="350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参考书目</w:t>
      </w:r>
      <w:r>
        <w:rPr>
          <w:rFonts w:hint="eastAsia"/>
          <w:color w:val="000000"/>
          <w:sz w:val="20"/>
          <w:szCs w:val="20"/>
        </w:rPr>
        <w:t>【市场营销学通论（第五版），郭国庆主编，中国人民大学出版社，2013年5月】</w:t>
      </w:r>
    </w:p>
    <w:p>
      <w:pPr>
        <w:adjustRightInd w:val="0"/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 xml:space="preserve">            </w:t>
      </w:r>
      <w:r>
        <w:rPr>
          <w:rFonts w:hint="eastAsia"/>
          <w:color w:val="000000"/>
          <w:sz w:val="20"/>
          <w:szCs w:val="20"/>
        </w:rPr>
        <w:t>【市场营销学（第4版），吴泗宗主编，清华大学出版社，2012年7月】</w:t>
      </w:r>
    </w:p>
    <w:p>
      <w:pPr>
        <w:adjustRightInd w:val="0"/>
        <w:snapToGrid w:val="0"/>
        <w:spacing w:line="288" w:lineRule="auto"/>
        <w:ind w:firstLine="394" w:firstLineChars="196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先修课程：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【设计学概论】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 w:ascii="宋体" w:hAnsi="宋体" w:eastAsia="宋体" w:cs="Times New Roman"/>
          <w:color w:val="000000"/>
          <w:sz w:val="20"/>
          <w:szCs w:val="20"/>
        </w:rPr>
      </w:pPr>
      <w:r>
        <w:rPr>
          <w:rFonts w:hint="eastAsia" w:ascii="宋体" w:hAnsi="宋体" w:eastAsia="宋体" w:cs="Times New Roman"/>
          <w:color w:val="000000"/>
          <w:sz w:val="20"/>
          <w:szCs w:val="20"/>
        </w:rPr>
        <w:t>市场营销学是在西方发达国家诞生并发展起来的一门新兴学科，是现代企业经营管理经验的总结。随着我国社会主义市场经济体制的逐步建立与完善，研究和掌握市场营销理论并加以运用，已不仅仅是工商企业和经济部门的事，而且包括文化、教育、卫生、科技在内的各行各业都在探讨如何针对目标市场的需要，组织好本单位的工作。因此，通过《市场营销学》的教学，目的是使学生比较系统地、全面地、客观地了解和掌握市场营销学的基本理论，吸收和借鉴当今国内外市场营销理论的新观点、新方法，对市场营销学的内容有一个比较全面的认识，以适应社会发展和本人发展的需要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/>
          <w:sz w:val="20"/>
          <w:szCs w:val="20"/>
        </w:rPr>
        <w:t>本课程适合于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新闻传播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学院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秘书系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的学生，要求有一定的</w:t>
      </w:r>
      <w:r>
        <w:rPr>
          <w:rFonts w:hint="eastAsia" w:ascii="宋体" w:hAnsi="宋体" w:cs="Times New Roman"/>
          <w:color w:val="000000"/>
          <w:sz w:val="20"/>
          <w:szCs w:val="20"/>
          <w:lang w:val="en-US" w:eastAsia="zh-CN"/>
        </w:rPr>
        <w:t>商务理论</w:t>
      </w:r>
      <w:r>
        <w:rPr>
          <w:rFonts w:hint="eastAsia" w:ascii="宋体" w:hAnsi="宋体" w:eastAsia="宋体" w:cs="Times New Roman"/>
          <w:color w:val="000000"/>
          <w:sz w:val="20"/>
          <w:szCs w:val="20"/>
        </w:rPr>
        <w:t>基础。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课程与专业毕业要求的关联性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ind w:left="0" w:leftChars="0" w:firstLine="360" w:firstLineChars="150"/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54"/>
        <w:gridCol w:w="2357"/>
        <w:gridCol w:w="188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4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357" w:type="dxa"/>
          </w:tcPr>
          <w:p>
            <w:pP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应用书面或口头形式，阐释自己的观点，有效沟通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案例教学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能够结合绿色营销案例分析并进行课堂展示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5</w:t>
            </w:r>
          </w:p>
        </w:tc>
        <w:tc>
          <w:tcPr>
            <w:tcW w:w="1254" w:type="dxa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2357" w:type="dxa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在集体活动中能主动担任自己的角色，与其他成员密切合作，共同完成任务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能够撰写小组项目报告：某产品营销策略分析报告（含STP和4PS）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default" w:ascii="宋体" w:hAnsi="Times New Roman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能够尽责的完成小组任务，不弄虚作假，不投机取巧，无抄袭等行为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both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886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实际操作</w:t>
            </w:r>
          </w:p>
        </w:tc>
        <w:tc>
          <w:tcPr>
            <w:tcW w:w="2121" w:type="dxa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能够做到预习、复习，并按时完成各项学习任务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150"/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课程内容</w:t>
      </w:r>
    </w:p>
    <w:p>
      <w:pPr>
        <w:pStyle w:val="12"/>
        <w:snapToGrid w:val="0"/>
        <w:spacing w:line="288" w:lineRule="auto"/>
        <w:ind w:left="399" w:leftChars="190" w:firstLine="402" w:firstLineChars="200"/>
        <w:rPr>
          <w:rFonts w:hint="eastAsia"/>
          <w:b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  <w:lang w:val="en-US" w:eastAsia="zh-CN"/>
        </w:rPr>
        <w:t>1单元</w:t>
      </w:r>
      <w:r>
        <w:rPr>
          <w:rFonts w:hint="eastAsia"/>
          <w:b/>
          <w:bCs/>
          <w:sz w:val="20"/>
          <w:szCs w:val="20"/>
        </w:rPr>
        <w:t xml:space="preserve"> 市场</w:t>
      </w:r>
      <w:r>
        <w:rPr>
          <w:b/>
          <w:bCs/>
          <w:sz w:val="20"/>
          <w:szCs w:val="20"/>
        </w:rPr>
        <w:t>营销</w:t>
      </w:r>
      <w:r>
        <w:rPr>
          <w:rFonts w:hint="eastAsia"/>
          <w:b/>
          <w:bCs/>
          <w:sz w:val="20"/>
          <w:szCs w:val="20"/>
          <w:lang w:val="en-US" w:eastAsia="zh-CN"/>
        </w:rPr>
        <w:t>导论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>
        <w:rPr>
          <w:b/>
          <w:color w:val="000000"/>
          <w:kern w:val="0"/>
          <w:sz w:val="20"/>
          <w:szCs w:val="20"/>
        </w:rPr>
        <w:t xml:space="preserve">     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 xml:space="preserve">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  实践课时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0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sz w:val="20"/>
          <w:szCs w:val="20"/>
        </w:rPr>
        <w:t>教学内容：</w:t>
      </w:r>
      <w:r>
        <w:rPr>
          <w:b/>
          <w:bCs/>
          <w:sz w:val="20"/>
          <w:szCs w:val="20"/>
        </w:rPr>
        <w:br w:type="textWrapping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 xml:space="preserve"> 市场营销与市场营销学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 xml:space="preserve">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1.2</w:t>
      </w: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>市场营销学的产生和发展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20" w:leftChars="0"/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1.3</w:t>
      </w: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>市场营销哲学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 xml:space="preserve"> 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1.4</w:t>
      </w: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>顾客满意与顾客忠诚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20" w:leftChars="0"/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1.5</w:t>
      </w:r>
      <w:r>
        <w:rPr>
          <w:rFonts w:hint="eastAsia" w:ascii="宋体" w:hAnsi="宋体" w:cs="Times New Roman"/>
          <w:color w:val="000000"/>
          <w:kern w:val="2"/>
          <w:sz w:val="20"/>
          <w:szCs w:val="20"/>
          <w:lang w:val="en-US" w:eastAsia="zh-CN" w:bidi="ar-SA"/>
        </w:rPr>
        <w:t>企业价值链与供销价值链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>市场、市场营销及其相关概念</w:t>
      </w:r>
    </w:p>
    <w:p>
      <w:pPr>
        <w:autoSpaceDN w:val="0"/>
        <w:ind w:firstLine="400" w:firstLineChars="200"/>
        <w:jc w:val="both"/>
        <w:textAlignment w:val="center"/>
        <w:rPr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市场营销观念及其变化</w:t>
      </w:r>
    </w:p>
    <w:p>
      <w:pPr>
        <w:pStyle w:val="12"/>
        <w:snapToGrid w:val="0"/>
        <w:spacing w:line="288" w:lineRule="auto"/>
        <w:rPr>
          <w:rFonts w:hint="eastAsia" w:eastAsia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顾客价值、顾客满意、价值链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能力要求：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sz w:val="20"/>
          <w:szCs w:val="20"/>
        </w:rPr>
        <w:t>知道市场营销的产生和发展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sz w:val="20"/>
          <w:szCs w:val="20"/>
        </w:rPr>
        <w:t>知道企业营销观念的演变过程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sz w:val="20"/>
          <w:szCs w:val="20"/>
        </w:rPr>
        <w:t>理解现代市场营销观念与传统市场营销观念的区别, 关系营销，绿色营销，社会营销，服务营销，整合营销；市场营销核心</w:t>
      </w:r>
    </w:p>
    <w:p>
      <w:pPr>
        <w:pStyle w:val="12"/>
        <w:snapToGrid w:val="0"/>
        <w:spacing w:line="288" w:lineRule="auto"/>
        <w:ind w:firstLine="402" w:firstLineChars="200"/>
        <w:rPr>
          <w:rFonts w:hint="eastAsia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④</w:t>
      </w:r>
      <w:r>
        <w:rPr>
          <w:rFonts w:hint="eastAsia"/>
          <w:sz w:val="20"/>
          <w:szCs w:val="20"/>
        </w:rPr>
        <w:t>运用满足消费者需求的内涵,实现顾客让渡价值的最大化,顾客满意度和忠诚度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市场营销核心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满足消费者需求的内涵 实现顾客让渡价值的最大化 顾客满意度和忠诚度</w:t>
      </w:r>
    </w:p>
    <w:p>
      <w:pPr>
        <w:pStyle w:val="12"/>
        <w:snapToGrid w:val="0"/>
        <w:spacing w:line="288" w:lineRule="auto"/>
        <w:ind w:left="820" w:leftChars="200" w:hanging="400" w:hangingChars="200"/>
        <w:rPr>
          <w:rFonts w:hint="eastAsia"/>
          <w:sz w:val="20"/>
          <w:szCs w:val="20"/>
        </w:rPr>
      </w:pPr>
    </w:p>
    <w:p>
      <w:pPr>
        <w:pStyle w:val="12"/>
        <w:snapToGrid w:val="0"/>
        <w:spacing w:line="288" w:lineRule="auto"/>
        <w:ind w:left="1127" w:leftChars="250" w:hanging="602" w:hangingChars="300"/>
        <w:rPr>
          <w:rFonts w:hint="eastAsia" w:eastAsia="宋体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  <w:lang w:val="en-US" w:eastAsia="zh-CN"/>
        </w:rPr>
        <w:t>2单元</w:t>
      </w:r>
      <w:r>
        <w:rPr>
          <w:rFonts w:hint="eastAsia"/>
          <w:b/>
          <w:bCs/>
          <w:sz w:val="20"/>
          <w:szCs w:val="20"/>
        </w:rPr>
        <w:t xml:space="preserve">  市场营销环境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4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0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教学内容：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7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/>
          <w:sz w:val="20"/>
          <w:szCs w:val="20"/>
          <w:lang w:val="en-US" w:eastAsia="zh-CN"/>
        </w:rPr>
        <w:t>市场营销环境的含义及特点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7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1.2</w:t>
      </w:r>
      <w:r>
        <w:rPr>
          <w:rFonts w:hint="eastAsia"/>
          <w:sz w:val="20"/>
          <w:szCs w:val="20"/>
          <w:lang w:val="en-US" w:eastAsia="zh-CN"/>
        </w:rPr>
        <w:t>微观营销环境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7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1.3</w:t>
      </w:r>
      <w:r>
        <w:rPr>
          <w:rFonts w:hint="eastAsia"/>
          <w:sz w:val="20"/>
          <w:szCs w:val="20"/>
          <w:lang w:val="en-US" w:eastAsia="zh-CN"/>
        </w:rPr>
        <w:t>宏观营销环境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7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1.4</w:t>
      </w:r>
      <w:r>
        <w:rPr>
          <w:rFonts w:hint="eastAsia"/>
          <w:sz w:val="20"/>
          <w:szCs w:val="20"/>
          <w:lang w:val="en-US" w:eastAsia="zh-CN"/>
        </w:rPr>
        <w:t>环境分析与营销对策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宏观和微观环境的主要构成</w:t>
      </w:r>
    </w:p>
    <w:p>
      <w:pPr>
        <w:autoSpaceDN w:val="0"/>
        <w:ind w:firstLine="400" w:firstLineChars="200"/>
        <w:jc w:val="both"/>
        <w:textAlignment w:val="center"/>
        <w:rPr>
          <w:rFonts w:hint="default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SWOT分析工具的使用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能力要求：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sz w:val="20"/>
          <w:szCs w:val="20"/>
        </w:rPr>
        <w:t>知道营销环境因素的内容及其复杂性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sz w:val="20"/>
          <w:szCs w:val="20"/>
        </w:rPr>
        <w:t>运用SWOT分析，“环境机会—威胁”分析，环境影响因素整合（营销环境分析方法）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教学难点：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 运用SWOT分析 “环境机会—威胁”分析 环境影响因素整合（营销环境分析方法）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</w:p>
    <w:p>
      <w:pPr>
        <w:pStyle w:val="12"/>
        <w:snapToGrid w:val="0"/>
        <w:spacing w:line="288" w:lineRule="auto"/>
        <w:ind w:left="200"/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  <w:lang w:val="en-US" w:eastAsia="zh-CN"/>
        </w:rPr>
        <w:t>3单元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 w:ascii="宋体" w:hAnsi="宋体" w:eastAsia="宋体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0"/>
          <w:szCs w:val="20"/>
          <w:lang w:val="en-US" w:eastAsia="zh-CN"/>
        </w:rPr>
        <w:t>购买者行为分析</w:t>
      </w: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4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>
      <w:pPr>
        <w:pStyle w:val="12"/>
        <w:snapToGrid w:val="0"/>
        <w:spacing w:line="288" w:lineRule="auto"/>
        <w:ind w:left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教学内容：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     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/>
          <w:sz w:val="20"/>
          <w:szCs w:val="20"/>
          <w:lang w:val="en-US" w:eastAsia="zh-CN"/>
        </w:rPr>
        <w:t>消费者购买决策过程及其参与者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1.2</w:t>
      </w:r>
      <w:r>
        <w:rPr>
          <w:rFonts w:hint="eastAsia"/>
          <w:sz w:val="20"/>
          <w:szCs w:val="20"/>
          <w:lang w:val="en-US" w:eastAsia="zh-CN"/>
        </w:rPr>
        <w:t>影响消费者购买行为的因素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消费者购买决策过程及购买角色</w:t>
      </w:r>
    </w:p>
    <w:p>
      <w:pPr>
        <w:autoSpaceDN w:val="0"/>
        <w:ind w:firstLine="400" w:firstLineChars="200"/>
        <w:jc w:val="both"/>
        <w:textAlignment w:val="center"/>
        <w:rPr>
          <w:rFonts w:hint="default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影响消费者购买行为的主要因素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/>
          <w:sz w:val="20"/>
          <w:szCs w:val="20"/>
        </w:rPr>
        <w:t>能力要求：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sz w:val="20"/>
          <w:szCs w:val="20"/>
        </w:rPr>
        <w:t>理解消费者市场顾客购买行为决策</w:t>
      </w:r>
    </w:p>
    <w:p>
      <w:pPr>
        <w:pStyle w:val="12"/>
        <w:snapToGrid w:val="0"/>
        <w:spacing w:line="288" w:lineRule="auto"/>
        <w:ind w:left="1127" w:leftChars="250" w:hanging="602" w:hangingChars="300"/>
        <w:rPr>
          <w:rFonts w:hint="eastAsia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sz w:val="20"/>
          <w:szCs w:val="20"/>
        </w:rPr>
        <w:t>分析购买行为分析的内容</w:t>
      </w:r>
      <w:r>
        <w:rPr>
          <w:rFonts w:hint="eastAsia"/>
          <w:sz w:val="20"/>
          <w:szCs w:val="20"/>
          <w:lang w:eastAsia="zh-CN"/>
        </w:rPr>
        <w:t>、</w:t>
      </w:r>
      <w:r>
        <w:rPr>
          <w:rFonts w:hint="eastAsia"/>
          <w:sz w:val="20"/>
          <w:szCs w:val="20"/>
        </w:rPr>
        <w:t>类型,影响消费者购买行为的内外在因素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: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分析购买行为分析的内容决策及影响消费者购买行为的因素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  <w:lang w:val="en-US" w:eastAsia="zh-CN"/>
        </w:rPr>
        <w:t xml:space="preserve"> </w:t>
      </w:r>
    </w:p>
    <w:p>
      <w:pPr>
        <w:pStyle w:val="12"/>
        <w:snapToGrid w:val="0"/>
        <w:spacing w:line="288" w:lineRule="auto"/>
        <w:ind w:left="200"/>
        <w:rPr>
          <w:rFonts w:hint="eastAsia" w:eastAsia="宋体"/>
          <w:b/>
          <w:bCs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第</w:t>
      </w:r>
      <w:r>
        <w:rPr>
          <w:rFonts w:hint="eastAsia"/>
          <w:b/>
          <w:bCs/>
          <w:sz w:val="20"/>
          <w:szCs w:val="20"/>
          <w:lang w:val="en-US" w:eastAsia="zh-CN"/>
        </w:rPr>
        <w:t>5单元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 w:ascii="宋体" w:hAnsi="宋体" w:eastAsia="宋体"/>
          <w:b/>
          <w:color w:val="000000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/>
          <w:b/>
          <w:color w:val="000000"/>
          <w:sz w:val="20"/>
          <w:szCs w:val="20"/>
          <w:lang w:eastAsia="zh-CN"/>
        </w:rPr>
        <w:t>市场营销调研与预测</w:t>
      </w: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 xml:space="preserve">2 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实践课时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0</w:t>
      </w:r>
    </w:p>
    <w:p>
      <w:pPr>
        <w:pStyle w:val="12"/>
        <w:snapToGrid w:val="0"/>
        <w:spacing w:line="288" w:lineRule="auto"/>
        <w:ind w:left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教学内容：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/>
          <w:sz w:val="20"/>
          <w:szCs w:val="20"/>
          <w:lang w:val="en-US" w:eastAsia="zh-CN"/>
        </w:rPr>
        <w:t>市场营销信息系统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1.2</w:t>
      </w:r>
      <w:r>
        <w:rPr>
          <w:rFonts w:hint="eastAsia"/>
          <w:sz w:val="20"/>
          <w:szCs w:val="20"/>
          <w:lang w:val="en-US" w:eastAsia="zh-CN"/>
        </w:rPr>
        <w:t>市场营销调研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市场调研基本方法</w:t>
      </w:r>
    </w:p>
    <w:p>
      <w:pPr>
        <w:autoSpaceDN w:val="0"/>
        <w:ind w:firstLine="400" w:firstLineChars="200"/>
        <w:jc w:val="both"/>
        <w:textAlignment w:val="center"/>
        <w:rPr>
          <w:rFonts w:hint="default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问卷设计及数据处理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能力要求：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/>
          <w:sz w:val="20"/>
          <w:szCs w:val="20"/>
        </w:rPr>
        <w:t>知道市场营销信息系统的构成及内容和种类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sz w:val="20"/>
          <w:szCs w:val="20"/>
        </w:rPr>
        <w:t>理解案头调研，问卷调查；数据处理</w:t>
      </w:r>
    </w:p>
    <w:p>
      <w:pPr>
        <w:pStyle w:val="12"/>
        <w:snapToGrid w:val="0"/>
        <w:spacing w:line="288" w:lineRule="auto"/>
        <w:ind w:firstLine="402" w:firstLineChars="200"/>
        <w:rPr>
          <w:rFonts w:hint="eastAsia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/>
          <w:sz w:val="20"/>
          <w:szCs w:val="20"/>
        </w:rPr>
        <w:t>运用调查问卷的设计，数据处理的简单方法，调研方案的设计，调研报告撰写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教学难点：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运用调查问卷的设计 数据处理的简单方法 调研方案的设计 调研报告撰写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eastAsia="宋体"/>
          <w:sz w:val="20"/>
          <w:szCs w:val="20"/>
          <w:lang w:val="en-US" w:eastAsia="zh-CN"/>
        </w:rPr>
      </w:pPr>
    </w:p>
    <w:p>
      <w:pPr>
        <w:pStyle w:val="12"/>
        <w:snapToGrid w:val="0"/>
        <w:spacing w:line="288" w:lineRule="auto"/>
        <w:ind w:left="1127" w:leftChars="250" w:hanging="602" w:hangingChars="3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第</w:t>
      </w:r>
      <w:r>
        <w:rPr>
          <w:rFonts w:hint="eastAsia"/>
          <w:b/>
          <w:bCs/>
          <w:sz w:val="20"/>
          <w:szCs w:val="20"/>
          <w:lang w:val="en-US" w:eastAsia="zh-CN"/>
        </w:rPr>
        <w:t>6单元</w:t>
      </w:r>
      <w:r>
        <w:rPr>
          <w:rFonts w:hint="eastAsia"/>
          <w:b/>
          <w:bCs/>
          <w:sz w:val="20"/>
          <w:szCs w:val="20"/>
        </w:rPr>
        <w:t xml:space="preserve">  目标市场</w:t>
      </w:r>
      <w:r>
        <w:rPr>
          <w:rFonts w:hint="eastAsia"/>
          <w:b/>
          <w:bCs/>
          <w:sz w:val="20"/>
          <w:szCs w:val="20"/>
          <w:lang w:val="en-US" w:eastAsia="zh-CN"/>
        </w:rPr>
        <w:t>营销</w:t>
      </w:r>
      <w:r>
        <w:rPr>
          <w:rFonts w:hint="eastAsia"/>
          <w:b/>
          <w:bCs/>
          <w:sz w:val="20"/>
          <w:szCs w:val="20"/>
        </w:rPr>
        <w:t xml:space="preserve">战略 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2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pStyle w:val="12"/>
        <w:snapToGrid w:val="0"/>
        <w:spacing w:line="288" w:lineRule="auto"/>
        <w:ind w:firstLine="800" w:firstLineChars="400"/>
        <w:rPr>
          <w:rFonts w:hint="eastAsia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/>
          <w:sz w:val="20"/>
          <w:szCs w:val="20"/>
        </w:rPr>
        <w:t>市场细分</w:t>
      </w:r>
    </w:p>
    <w:p>
      <w:pPr>
        <w:pStyle w:val="12"/>
        <w:snapToGrid w:val="0"/>
        <w:spacing w:line="288" w:lineRule="auto"/>
        <w:ind w:firstLine="800" w:firstLineChars="400"/>
        <w:rPr>
          <w:rFonts w:hint="eastAsia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1.2</w:t>
      </w:r>
      <w:r>
        <w:rPr>
          <w:rFonts w:hint="eastAsia"/>
          <w:sz w:val="20"/>
          <w:szCs w:val="20"/>
        </w:rPr>
        <w:t>市场选择</w:t>
      </w:r>
    </w:p>
    <w:p>
      <w:pPr>
        <w:pStyle w:val="12"/>
        <w:snapToGrid w:val="0"/>
        <w:spacing w:line="288" w:lineRule="auto"/>
        <w:ind w:firstLine="800" w:firstLineChars="400"/>
        <w:rPr>
          <w:rFonts w:hint="eastAsia" w:ascii="宋体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1.3</w:t>
      </w:r>
      <w:r>
        <w:rPr>
          <w:rFonts w:hint="eastAsia" w:ascii="宋体"/>
          <w:sz w:val="20"/>
          <w:szCs w:val="20"/>
        </w:rPr>
        <w:t>市场定位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 w:ascii="宋体"/>
          <w:sz w:val="20"/>
          <w:szCs w:val="20"/>
          <w:lang w:val="en-US" w:eastAsia="zh-CN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市场细分标准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目标市场模式选择</w:t>
      </w:r>
    </w:p>
    <w:p>
      <w:pPr>
        <w:pStyle w:val="12"/>
        <w:snapToGrid w:val="0"/>
        <w:spacing w:line="288" w:lineRule="auto"/>
        <w:rPr>
          <w:rFonts w:hint="default" w:ascii="宋体" w:hAnsi="宋体" w:eastAsia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市场定位方法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能力要求：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</w:t>
      </w:r>
      <w:r>
        <w:rPr>
          <w:rFonts w:hint="eastAsia" w:ascii="宋体"/>
          <w:sz w:val="20"/>
          <w:szCs w:val="20"/>
          <w:lang w:val="en-US" w:eastAsia="zh-CN"/>
        </w:rPr>
        <w:t xml:space="preserve"> </w:t>
      </w:r>
      <w:r>
        <w:rPr>
          <w:rFonts w:hint="eastAsia" w:ascii="宋体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sz w:val="20"/>
          <w:szCs w:val="20"/>
        </w:rPr>
        <w:t>知道市场细分类型和定义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 w:ascii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sz w:val="20"/>
          <w:szCs w:val="20"/>
        </w:rPr>
        <w:t>理解市场细分标准，目标市场选择原则，市场定位方法</w:t>
      </w:r>
    </w:p>
    <w:p>
      <w:pPr>
        <w:pStyle w:val="12"/>
        <w:snapToGrid w:val="0"/>
        <w:spacing w:line="288" w:lineRule="auto"/>
        <w:ind w:left="1127" w:leftChars="250" w:hanging="602" w:hangingChars="300"/>
        <w:rPr>
          <w:rFonts w:hint="eastAsia" w:ascii="宋体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/>
          <w:sz w:val="20"/>
          <w:szCs w:val="20"/>
        </w:rPr>
        <w:t>运用市场细分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hint="eastAsia" w:ascii="宋体"/>
          <w:sz w:val="20"/>
          <w:szCs w:val="20"/>
        </w:rPr>
        <w:t>：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</w:rPr>
        <w:t xml:space="preserve">   运用市场细分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color w:val="000000"/>
          <w:sz w:val="20"/>
          <w:szCs w:val="20"/>
          <w:lang w:val="en-US" w:eastAsia="zh-CN"/>
        </w:rPr>
        <w:t xml:space="preserve">      </w:t>
      </w:r>
    </w:p>
    <w:p>
      <w:pPr>
        <w:numPr>
          <w:ilvl w:val="0"/>
          <w:numId w:val="0"/>
        </w:numPr>
        <w:autoSpaceDN w:val="0"/>
        <w:jc w:val="both"/>
        <w:textAlignment w:val="center"/>
        <w:rPr>
          <w:rFonts w:ascii="宋体" w:hAnsi="宋体" w:eastAsia="宋体"/>
          <w:b/>
          <w:color w:val="000000"/>
          <w:sz w:val="20"/>
          <w:szCs w:val="20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0"/>
          <w:szCs w:val="20"/>
          <w:lang w:val="en-US" w:eastAsia="zh-CN" w:bidi="ar-SA"/>
        </w:rPr>
        <w:t>第</w:t>
      </w:r>
      <w:r>
        <w:rPr>
          <w:rFonts w:hint="eastAsia" w:cs="Times New Roman"/>
          <w:b/>
          <w:bCs/>
          <w:kern w:val="2"/>
          <w:sz w:val="20"/>
          <w:szCs w:val="20"/>
          <w:lang w:val="en-US" w:eastAsia="zh-CN" w:bidi="ar-SA"/>
        </w:rPr>
        <w:t>2单元</w:t>
      </w:r>
      <w:r>
        <w:rPr>
          <w:rFonts w:hint="eastAsia" w:ascii="Times New Roman" w:hAnsi="Times New Roman" w:eastAsia="宋体" w:cs="Times New Roman"/>
          <w:b/>
          <w:bCs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b/>
          <w:bCs/>
          <w:kern w:val="2"/>
          <w:sz w:val="20"/>
          <w:szCs w:val="20"/>
          <w:lang w:val="en-US" w:eastAsia="zh-CN" w:bidi="ar-SA"/>
        </w:rPr>
        <w:t>战略规划与营销管理</w:t>
      </w:r>
      <w:r>
        <w:rPr>
          <w:rFonts w:hint="eastAsia" w:ascii="宋体" w:hAnsi="宋体"/>
          <w:b/>
          <w:color w:val="000000"/>
          <w:sz w:val="20"/>
          <w:szCs w:val="20"/>
          <w:lang w:val="en-US" w:eastAsia="zh-CN"/>
        </w:rPr>
        <w:t xml:space="preserve"> 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2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 w:ascii="宋体" w:hAnsi="宋体"/>
          <w:b/>
          <w:color w:val="000000"/>
          <w:sz w:val="20"/>
          <w:szCs w:val="20"/>
          <w:lang w:val="en-US" w:eastAsia="zh-CN"/>
        </w:rPr>
        <w:t xml:space="preserve">    </w:t>
      </w:r>
    </w:p>
    <w:p>
      <w:pPr>
        <w:pStyle w:val="12"/>
        <w:snapToGrid w:val="0"/>
        <w:spacing w:line="288" w:lineRule="auto"/>
        <w:ind w:left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企业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与企业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战略</w:t>
      </w:r>
    </w:p>
    <w:p>
      <w:pPr>
        <w:pStyle w:val="12"/>
        <w:snapToGrid w:val="0"/>
        <w:spacing w:line="288" w:lineRule="auto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1.2</w:t>
      </w:r>
      <w:r>
        <w:rPr>
          <w:rFonts w:hint="eastAsia"/>
          <w:sz w:val="20"/>
          <w:szCs w:val="20"/>
          <w:lang w:val="en-US" w:eastAsia="zh-CN"/>
        </w:rPr>
        <w:t>总体战略</w:t>
      </w:r>
    </w:p>
    <w:p>
      <w:pPr>
        <w:pStyle w:val="12"/>
        <w:snapToGrid w:val="0"/>
        <w:spacing w:line="288" w:lineRule="auto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lang w:val="en-US" w:eastAsia="zh-CN"/>
        </w:rPr>
        <w:t>1.3经营战略</w:t>
      </w:r>
    </w:p>
    <w:p>
      <w:pPr>
        <w:pStyle w:val="12"/>
        <w:snapToGrid w:val="0"/>
        <w:spacing w:line="288" w:lineRule="auto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/>
          <w:sz w:val="20"/>
          <w:szCs w:val="20"/>
          <w:lang w:val="en-US" w:eastAsia="zh-CN"/>
        </w:rPr>
        <w:t>1.4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营销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过程与管理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波士顿矩阵分析图</w:t>
      </w:r>
    </w:p>
    <w:p>
      <w:pPr>
        <w:pStyle w:val="12"/>
        <w:snapToGrid w:val="0"/>
        <w:spacing w:line="288" w:lineRule="auto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发展战略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能力要求: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理解市场发展战略的特征和作用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运用业务投资组合分析的基本内容,业务投资组合的方法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分析市场发展战略选择:密集型、一体化、多元化增长战略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点：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市场发展战略选择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pStyle w:val="12"/>
        <w:snapToGrid w:val="0"/>
        <w:spacing w:line="288" w:lineRule="auto"/>
        <w:ind w:left="1127" w:leftChars="250" w:hanging="602" w:hangingChars="3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第</w:t>
      </w:r>
      <w:r>
        <w:rPr>
          <w:rFonts w:hint="eastAsia"/>
          <w:b/>
          <w:bCs/>
          <w:sz w:val="20"/>
          <w:szCs w:val="20"/>
          <w:lang w:val="en-US" w:eastAsia="zh-CN"/>
        </w:rPr>
        <w:t>7单元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 w:ascii="宋体" w:hAnsi="宋体"/>
          <w:b/>
          <w:color w:val="000000"/>
          <w:sz w:val="20"/>
          <w:szCs w:val="20"/>
          <w:lang w:eastAsia="zh-CN"/>
        </w:rPr>
        <w:t>竞争</w:t>
      </w:r>
      <w:r>
        <w:rPr>
          <w:rFonts w:hint="eastAsia" w:ascii="宋体" w:hAnsi="宋体"/>
          <w:b/>
          <w:color w:val="000000"/>
          <w:sz w:val="20"/>
          <w:szCs w:val="20"/>
          <w:lang w:val="en-US" w:eastAsia="zh-CN"/>
        </w:rPr>
        <w:t>性市场营销战略</w:t>
      </w:r>
      <w:r>
        <w:rPr>
          <w:rFonts w:hint="eastAsia"/>
          <w:b/>
          <w:bCs/>
          <w:sz w:val="20"/>
          <w:szCs w:val="20"/>
        </w:rPr>
        <w:t xml:space="preserve">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1.1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竞争者分析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val="en-US" w:eastAsia="zh-CN"/>
        </w:rPr>
        <w:t>1.2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市场领导者战略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  <w:lang w:val="en-US" w:eastAsia="zh-CN"/>
        </w:rPr>
        <w:t xml:space="preserve"> 1.3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市场挑战者战略</w:t>
      </w:r>
    </w:p>
    <w:p>
      <w:pPr>
        <w:pStyle w:val="12"/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1.4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市场追随者与市场利基者战略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市场竞争类型及主要形式</w:t>
      </w:r>
    </w:p>
    <w:p>
      <w:pPr>
        <w:pStyle w:val="12"/>
        <w:snapToGrid w:val="0"/>
        <w:spacing w:line="288" w:lineRule="auto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市场竞争战略选择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能力要求：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理解市场竞争类型和主要形式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 w:ascii="宋体"/>
          <w:b/>
          <w:bCs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运用市场竞争定位，核心竞争力，市场竞争战略选择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 w:ascii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/>
          <w:sz w:val="20"/>
          <w:szCs w:val="20"/>
        </w:rPr>
        <w:t>运用市场竞争定位 核心竞争力 市场竞争战略选择</w:t>
      </w:r>
    </w:p>
    <w:p>
      <w:pPr>
        <w:pStyle w:val="12"/>
        <w:snapToGrid w:val="0"/>
        <w:spacing w:line="288" w:lineRule="auto"/>
        <w:ind w:left="1125" w:leftChars="250" w:hanging="600" w:hangingChars="300"/>
        <w:rPr>
          <w:rFonts w:hint="eastAsia" w:ascii="宋体"/>
          <w:sz w:val="20"/>
          <w:szCs w:val="20"/>
        </w:rPr>
      </w:pP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</w:t>
      </w:r>
      <w:r>
        <w:rPr>
          <w:rFonts w:hint="eastAsia"/>
          <w:b/>
          <w:bCs/>
          <w:sz w:val="20"/>
          <w:szCs w:val="20"/>
          <w:lang w:val="en-US" w:eastAsia="zh-CN"/>
        </w:rPr>
        <w:t>第8单元</w:t>
      </w:r>
      <w:r>
        <w:rPr>
          <w:rFonts w:hint="eastAsia"/>
          <w:b/>
          <w:bCs/>
          <w:sz w:val="20"/>
          <w:szCs w:val="20"/>
        </w:rPr>
        <w:t xml:space="preserve"> 产品策略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4</w:t>
      </w:r>
      <w:r>
        <w:rPr>
          <w:b/>
          <w:color w:val="000000"/>
          <w:kern w:val="0"/>
          <w:sz w:val="20"/>
          <w:szCs w:val="20"/>
        </w:rPr>
        <w:t xml:space="preserve">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</w:t>
      </w: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>1.1产品与产品分类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>1.2产品组合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>1.3产品生命周期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>1.4包装与包装策略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ind w:left="800" w:leftChars="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>1.5新产品开发</w:t>
      </w:r>
    </w:p>
    <w:p>
      <w:pPr>
        <w:pStyle w:val="12"/>
        <w:numPr>
          <w:ilvl w:val="0"/>
          <w:numId w:val="0"/>
        </w:numPr>
        <w:snapToGrid w:val="0"/>
        <w:spacing w:line="288" w:lineRule="auto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  <w:lang w:val="en-US" w:eastAsia="zh-CN"/>
        </w:rPr>
        <w:t xml:space="preserve">        补充：品牌策略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 w:ascii="宋体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产品整体概念、产品生命周期阶段特征及策略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产品组合概念、新产品类型</w:t>
      </w:r>
    </w:p>
    <w:p>
      <w:pPr>
        <w:pStyle w:val="12"/>
        <w:snapToGrid w:val="0"/>
        <w:spacing w:line="288" w:lineRule="auto"/>
        <w:rPr>
          <w:rFonts w:hint="default" w:ascii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品牌策略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能力要求：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sz w:val="20"/>
          <w:szCs w:val="20"/>
        </w:rPr>
        <w:t>知道产品生命周期概念</w:t>
      </w:r>
    </w:p>
    <w:p>
      <w:pPr>
        <w:pStyle w:val="12"/>
        <w:snapToGrid w:val="0"/>
        <w:spacing w:line="288" w:lineRule="auto"/>
        <w:ind w:left="200" w:firstLine="420"/>
        <w:rPr>
          <w:rFonts w:hint="eastAsia" w:ascii="宋体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sz w:val="20"/>
          <w:szCs w:val="20"/>
        </w:rPr>
        <w:t>理解产品整体概念，产品生命周期阶段特征，产品组合概念，新产品策略，品牌概念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b/>
          <w:bCs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/>
          <w:sz w:val="20"/>
          <w:szCs w:val="20"/>
        </w:rPr>
        <w:t>运用：产品生命周期营销战略</w:t>
      </w:r>
    </w:p>
    <w:p>
      <w:pPr>
        <w:pStyle w:val="12"/>
        <w:snapToGrid w:val="0"/>
        <w:spacing w:line="288" w:lineRule="auto"/>
        <w:rPr>
          <w:rFonts w:hint="eastAsia" w:ascii="宋体"/>
          <w:b/>
          <w:bCs/>
          <w:sz w:val="20"/>
          <w:szCs w:val="20"/>
        </w:rPr>
      </w:pPr>
      <w:r>
        <w:rPr>
          <w:rFonts w:hint="eastAsia" w:ascii="宋体"/>
          <w:b/>
          <w:bCs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/>
          <w:sz w:val="20"/>
          <w:szCs w:val="20"/>
        </w:rPr>
        <w:t>分析：新产品策略，品牌管理</w:t>
      </w:r>
    </w:p>
    <w:p>
      <w:pPr>
        <w:pStyle w:val="12"/>
        <w:snapToGrid w:val="0"/>
        <w:spacing w:line="288" w:lineRule="auto"/>
        <w:ind w:left="200" w:firstLine="420"/>
        <w:rPr>
          <w:rFonts w:hint="eastAsia" w:ascii="宋体"/>
          <w:b/>
          <w:bCs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⑤</w:t>
      </w:r>
      <w:r>
        <w:rPr>
          <w:rFonts w:hint="eastAsia" w:ascii="宋体"/>
          <w:b/>
          <w:bCs/>
          <w:sz w:val="20"/>
          <w:szCs w:val="20"/>
        </w:rPr>
        <w:t>评价：产品组合策略（BCG矩阵）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教学</w:t>
      </w:r>
      <w:r>
        <w:rPr>
          <w:rFonts w:hint="eastAsia"/>
          <w:sz w:val="20"/>
          <w:szCs w:val="20"/>
        </w:rPr>
        <w:t>难点</w:t>
      </w:r>
      <w:r>
        <w:rPr>
          <w:rFonts w:hint="eastAsia" w:ascii="宋体"/>
          <w:sz w:val="20"/>
          <w:szCs w:val="20"/>
        </w:rPr>
        <w:t>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/>
          <w:sz w:val="20"/>
          <w:szCs w:val="20"/>
          <w:lang w:val="en-US" w:eastAsia="zh-CN"/>
        </w:rPr>
      </w:pPr>
      <w:r>
        <w:rPr>
          <w:rFonts w:hint="eastAsia" w:ascii="宋体"/>
          <w:sz w:val="20"/>
          <w:szCs w:val="20"/>
        </w:rPr>
        <w:t xml:space="preserve">    产品生命周期营销战略 新产品策略及品牌管理 产品组合策略</w:t>
      </w:r>
      <w:r>
        <w:rPr>
          <w:rFonts w:hint="eastAsia" w:ascii="宋体"/>
          <w:sz w:val="20"/>
          <w:szCs w:val="20"/>
          <w:lang w:val="en-US" w:eastAsia="zh-CN"/>
        </w:rPr>
        <w:t xml:space="preserve">   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 w:ascii="宋体"/>
          <w:sz w:val="20"/>
          <w:szCs w:val="20"/>
          <w:lang w:val="en-US" w:eastAsia="zh-CN"/>
        </w:rPr>
      </w:pPr>
    </w:p>
    <w:p>
      <w:pPr>
        <w:pStyle w:val="12"/>
        <w:tabs>
          <w:tab w:val="left" w:pos="720"/>
        </w:tabs>
        <w:snapToGrid w:val="0"/>
        <w:spacing w:line="288" w:lineRule="auto"/>
        <w:ind w:left="199" w:leftChars="95" w:firstLine="402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第</w:t>
      </w:r>
      <w:r>
        <w:rPr>
          <w:rFonts w:hint="eastAsia"/>
          <w:b/>
          <w:bCs/>
          <w:sz w:val="20"/>
          <w:szCs w:val="20"/>
          <w:lang w:val="en-US" w:eastAsia="zh-CN"/>
        </w:rPr>
        <w:t>9单元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  <w:lang w:val="en-US" w:eastAsia="zh-CN"/>
        </w:rPr>
        <w:t>定价</w:t>
      </w:r>
      <w:r>
        <w:rPr>
          <w:rFonts w:hint="eastAsia"/>
          <w:b/>
          <w:bCs/>
          <w:sz w:val="20"/>
          <w:szCs w:val="20"/>
        </w:rPr>
        <w:t xml:space="preserve">策略    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 xml:space="preserve">2  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 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教学内容：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1.1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影响定价的主要因素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hint="eastAsia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1.2确定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定价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价格的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一般方法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hint="eastAsia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1.3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定价的基本策略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1.4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价格调整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及价格变动反应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 w:ascii="宋体"/>
          <w:sz w:val="20"/>
          <w:szCs w:val="20"/>
          <w:lang w:val="en-US" w:eastAsia="zh-CN"/>
        </w:rPr>
        <w:t xml:space="preserve"> 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定价的影响因素</w:t>
      </w:r>
    </w:p>
    <w:p>
      <w:pPr>
        <w:pStyle w:val="12"/>
        <w:snapToGrid w:val="0"/>
        <w:spacing w:line="288" w:lineRule="auto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定价策略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能力要求：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 </w:t>
      </w:r>
      <w:r>
        <w:rPr>
          <w:rFonts w:hint="eastAsia" w:ascii="宋体" w:hAnsi="宋体" w:eastAsia="宋体" w:cs="宋体"/>
          <w:sz w:val="20"/>
          <w:szCs w:val="20"/>
        </w:rPr>
        <w:t>①</w:t>
      </w:r>
      <w:r>
        <w:rPr>
          <w:rFonts w:hint="eastAsia" w:ascii="宋体"/>
          <w:sz w:val="20"/>
          <w:szCs w:val="20"/>
        </w:rPr>
        <w:t>知道影响产品定价的因素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sz w:val="20"/>
          <w:szCs w:val="20"/>
        </w:rPr>
        <w:t>理解定价目标，定价方法，价格竞争</w:t>
      </w: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eastAsia"/>
          <w:b w:val="0"/>
          <w:bCs w:val="0"/>
          <w:sz w:val="20"/>
          <w:szCs w:val="20"/>
        </w:rPr>
        <w:t>价格竞争策略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价格竞争策略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</w:p>
    <w:p>
      <w:pPr>
        <w:pStyle w:val="12"/>
        <w:snapToGrid w:val="0"/>
        <w:spacing w:line="288" w:lineRule="auto"/>
        <w:ind w:left="200" w:firstLine="402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第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10单元 </w:t>
      </w:r>
      <w:r>
        <w:rPr>
          <w:rFonts w:hint="eastAsia"/>
          <w:b/>
          <w:bCs/>
          <w:sz w:val="20"/>
          <w:szCs w:val="20"/>
        </w:rPr>
        <w:t xml:space="preserve">分销策略     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rFonts w:hint="eastAsia"/>
          <w:b/>
          <w:color w:val="000000"/>
          <w:kern w:val="0"/>
          <w:sz w:val="20"/>
          <w:szCs w:val="20"/>
          <w:lang w:val="en-US" w:eastAsia="zh-CN"/>
        </w:rPr>
        <w:t>2</w:t>
      </w:r>
      <w:r>
        <w:rPr>
          <w:b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  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教学内容：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hint="eastAsia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1.1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分销渠道的职能和类型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hint="eastAsia"/>
          <w:sz w:val="20"/>
          <w:szCs w:val="20"/>
          <w:lang w:val="en-US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1.2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分销渠道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策略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1.3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批发商与零售商</w:t>
      </w:r>
    </w:p>
    <w:p>
      <w:pPr>
        <w:pStyle w:val="12"/>
        <w:tabs>
          <w:tab w:val="left" w:pos="720"/>
        </w:tabs>
        <w:snapToGrid w:val="0"/>
        <w:spacing w:line="288" w:lineRule="auto"/>
        <w:ind w:firstLine="800" w:firstLineChars="400"/>
        <w:rPr>
          <w:rFonts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1.4 </w:t>
      </w:r>
      <w:r>
        <w:rPr>
          <w:rFonts w:ascii="宋体" w:hAnsi="宋体" w:eastAsia="宋体"/>
          <w:color w:val="000000"/>
          <w:sz w:val="20"/>
          <w:szCs w:val="20"/>
          <w:lang w:eastAsia="zh-CN"/>
        </w:rPr>
        <w:t>物流策略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分销渠道策略</w:t>
      </w:r>
    </w:p>
    <w:p>
      <w:pPr>
        <w:pStyle w:val="12"/>
        <w:snapToGrid w:val="0"/>
        <w:spacing w:line="288" w:lineRule="auto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批发商与零售商的形式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能力要求：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sz w:val="20"/>
          <w:szCs w:val="20"/>
        </w:rPr>
        <w:t>知道分销渠道的性质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sz w:val="20"/>
          <w:szCs w:val="20"/>
        </w:rPr>
        <w:t>理解销渠道种类、特点，渠道冲突类型</w:t>
      </w: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</w:t>
      </w:r>
      <w:r>
        <w:rPr>
          <w:rFonts w:hint="eastAsia" w:ascii="宋体"/>
          <w:b/>
          <w:bCs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③运用分销渠道设计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/>
          <w:sz w:val="20"/>
          <w:szCs w:val="20"/>
        </w:rPr>
        <w:t>分析渠道管理，渠道冲突的解决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教学难点：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分销渠道设计 渠道冲突</w:t>
      </w:r>
    </w:p>
    <w:p>
      <w:pPr>
        <w:pStyle w:val="12"/>
        <w:snapToGrid w:val="0"/>
        <w:spacing w:line="288" w:lineRule="auto"/>
        <w:ind w:firstLine="400" w:firstLineChars="200"/>
        <w:rPr>
          <w:rFonts w:hint="eastAsia"/>
          <w:sz w:val="20"/>
          <w:szCs w:val="20"/>
        </w:rPr>
      </w:pPr>
    </w:p>
    <w:p>
      <w:pPr>
        <w:pStyle w:val="12"/>
        <w:tabs>
          <w:tab w:val="left" w:pos="720"/>
        </w:tabs>
        <w:snapToGrid w:val="0"/>
        <w:spacing w:line="288" w:lineRule="auto"/>
        <w:ind w:left="199" w:leftChars="95" w:firstLine="402" w:firstLineChars="2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第</w:t>
      </w:r>
      <w:r>
        <w:rPr>
          <w:rFonts w:hint="eastAsia"/>
          <w:b/>
          <w:bCs/>
          <w:sz w:val="20"/>
          <w:szCs w:val="20"/>
          <w:lang w:val="en-US" w:eastAsia="zh-CN"/>
        </w:rPr>
        <w:t>11单元</w:t>
      </w:r>
      <w:r>
        <w:rPr>
          <w:rFonts w:hint="eastAsia"/>
          <w:b/>
          <w:bCs/>
          <w:sz w:val="20"/>
          <w:szCs w:val="20"/>
        </w:rPr>
        <w:t xml:space="preserve"> 促销策略     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              </w:t>
      </w:r>
      <w:r>
        <w:rPr>
          <w:rFonts w:hint="eastAsia"/>
          <w:b/>
          <w:color w:val="000000"/>
          <w:kern w:val="0"/>
          <w:sz w:val="20"/>
          <w:szCs w:val="20"/>
        </w:rPr>
        <w:t>理论课时</w:t>
      </w:r>
      <w:r>
        <w:rPr>
          <w:b/>
          <w:color w:val="000000"/>
          <w:kern w:val="0"/>
          <w:sz w:val="20"/>
          <w:szCs w:val="20"/>
        </w:rPr>
        <w:t xml:space="preserve">2   </w:t>
      </w:r>
      <w:r>
        <w:rPr>
          <w:rFonts w:hint="eastAsia"/>
          <w:b/>
          <w:color w:val="000000"/>
          <w:kern w:val="0"/>
          <w:sz w:val="20"/>
          <w:szCs w:val="20"/>
        </w:rPr>
        <w:t>实践课时</w:t>
      </w:r>
      <w:r>
        <w:rPr>
          <w:b/>
          <w:color w:val="000000"/>
          <w:kern w:val="0"/>
          <w:sz w:val="20"/>
          <w:szCs w:val="20"/>
        </w:rPr>
        <w:t>0</w:t>
      </w:r>
      <w:r>
        <w:rPr>
          <w:rFonts w:hint="eastAsia"/>
          <w:b/>
          <w:bCs/>
          <w:sz w:val="20"/>
          <w:szCs w:val="20"/>
        </w:rPr>
        <w:t xml:space="preserve">  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教学内容：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lang w:val="en-US" w:eastAsia="zh-CN"/>
        </w:rPr>
        <w:t>1.1</w:t>
      </w:r>
      <w:r>
        <w:rPr>
          <w:rFonts w:hint="eastAsia"/>
          <w:sz w:val="20"/>
          <w:szCs w:val="20"/>
        </w:rPr>
        <w:t>促销及其组合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lang w:val="en-US" w:eastAsia="zh-CN"/>
        </w:rPr>
        <w:t>1.2</w:t>
      </w:r>
      <w:r>
        <w:rPr>
          <w:rFonts w:hint="eastAsia"/>
          <w:sz w:val="20"/>
          <w:szCs w:val="20"/>
        </w:rPr>
        <w:t>人员推销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lang w:val="en-US" w:eastAsia="zh-CN"/>
        </w:rPr>
        <w:t>1.3公共关系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 1.4营业推广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 xml:space="preserve">        1.5广告策略</w:t>
      </w:r>
    </w:p>
    <w:p>
      <w:pPr>
        <w:pStyle w:val="12"/>
        <w:snapToGrid w:val="0"/>
        <w:spacing w:line="288" w:lineRule="auto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rFonts w:hint="eastAsia"/>
          <w:color w:val="000000"/>
          <w:kern w:val="0"/>
          <w:sz w:val="20"/>
          <w:szCs w:val="20"/>
        </w:rPr>
        <w:t>知识要求：</w:t>
      </w:r>
    </w:p>
    <w:p>
      <w:pPr>
        <w:widowControl/>
        <w:ind w:firstLine="357"/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促销组合内容</w:t>
      </w:r>
    </w:p>
    <w:p>
      <w:pPr>
        <w:pStyle w:val="12"/>
        <w:snapToGrid w:val="0"/>
        <w:spacing w:line="288" w:lineRule="auto"/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20"/>
          <w:szCs w:val="20"/>
          <w:lang w:val="en-US" w:eastAsia="zh-CN" w:bidi="ar-SA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广告的媒介形式及优缺点</w:t>
      </w:r>
    </w:p>
    <w:p>
      <w:pPr>
        <w:pStyle w:val="12"/>
        <w:snapToGrid w:val="0"/>
        <w:spacing w:line="288" w:lineRule="auto"/>
        <w:rPr>
          <w:rFonts w:hint="default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/>
          <w:sz w:val="20"/>
          <w:szCs w:val="20"/>
        </w:rPr>
        <w:t>③</w:t>
      </w:r>
      <w:r>
        <w:rPr>
          <w:rFonts w:hint="eastAsia" w:ascii="宋体"/>
          <w:sz w:val="20"/>
          <w:szCs w:val="20"/>
          <w:lang w:val="en-US" w:eastAsia="zh-CN"/>
        </w:rPr>
        <w:t>营业推广的不同形式及优缺点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能力要求：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sz w:val="20"/>
          <w:szCs w:val="20"/>
        </w:rPr>
        <w:t>知道促销及其组合</w:t>
      </w:r>
    </w:p>
    <w:p>
      <w:pPr>
        <w:pStyle w:val="12"/>
        <w:snapToGrid w:val="0"/>
        <w:spacing w:line="288" w:lineRule="auto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sz w:val="20"/>
          <w:szCs w:val="20"/>
        </w:rPr>
        <w:t>理解人员促销，广告策略，营业推广</w:t>
      </w:r>
    </w:p>
    <w:p>
      <w:pPr>
        <w:pStyle w:val="12"/>
        <w:snapToGrid w:val="0"/>
        <w:spacing w:line="288" w:lineRule="auto"/>
        <w:rPr>
          <w:rFonts w:hint="eastAsia" w:ascii="宋体"/>
          <w:b/>
          <w:bCs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③</w:t>
      </w:r>
      <w:r>
        <w:rPr>
          <w:rFonts w:hint="eastAsia" w:ascii="宋体"/>
          <w:b/>
          <w:bCs/>
          <w:sz w:val="20"/>
          <w:szCs w:val="20"/>
        </w:rPr>
        <w:t>运用促销组合设计</w:t>
      </w: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</w:rPr>
      </w:pPr>
      <w:r>
        <w:rPr>
          <w:rFonts w:hint="eastAsia" w:ascii="宋体"/>
          <w:b/>
          <w:bCs/>
          <w:sz w:val="20"/>
          <w:szCs w:val="20"/>
        </w:rPr>
        <w:t xml:space="preserve">      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/>
          <w:b/>
          <w:bCs/>
          <w:sz w:val="20"/>
          <w:szCs w:val="20"/>
        </w:rPr>
        <w:t>综合简单的</w:t>
      </w:r>
      <w:r>
        <w:rPr>
          <w:rFonts w:hint="eastAsia"/>
          <w:b/>
          <w:bCs/>
          <w:sz w:val="20"/>
          <w:szCs w:val="20"/>
        </w:rPr>
        <w:t>广告策划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教学难点：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促销组合设计及广告策划</w:t>
      </w:r>
    </w:p>
    <w:p>
      <w:pPr>
        <w:pStyle w:val="12"/>
        <w:snapToGrid w:val="0"/>
        <w:spacing w:line="288" w:lineRule="auto"/>
        <w:rPr>
          <w:rFonts w:hint="eastAsia"/>
          <w:sz w:val="20"/>
          <w:szCs w:val="20"/>
        </w:rPr>
      </w:pPr>
    </w:p>
    <w:p>
      <w:pPr>
        <w:pStyle w:val="12"/>
        <w:snapToGrid w:val="0"/>
        <w:spacing w:line="288" w:lineRule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color w:val="FF0000"/>
          <w:sz w:val="20"/>
          <w:szCs w:val="20"/>
          <w:lang w:val="en-US" w:eastAsia="zh-CN"/>
        </w:rPr>
        <w:t xml:space="preserve">        </w:t>
      </w:r>
      <w:r>
        <w:rPr>
          <w:rFonts w:hint="eastAsia"/>
          <w:b/>
          <w:bCs/>
          <w:sz w:val="20"/>
          <w:szCs w:val="20"/>
          <w:lang w:val="en-US" w:eastAsia="zh-CN"/>
        </w:rPr>
        <w:t>补充:课堂展示                                                        2课时</w:t>
      </w:r>
    </w:p>
    <w:p>
      <w:pPr>
        <w:pStyle w:val="12"/>
        <w:snapToGrid w:val="0"/>
        <w:spacing w:line="288" w:lineRule="auto"/>
        <w:rPr>
          <w:rFonts w:hint="default"/>
          <w:b/>
          <w:bCs/>
          <w:sz w:val="20"/>
          <w:szCs w:val="20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七、评价方式与成绩</w:t>
      </w:r>
    </w:p>
    <w:tbl>
      <w:tblPr>
        <w:tblStyle w:val="5"/>
        <w:tblpPr w:leftFromText="180" w:rightFromText="180" w:vertAnchor="text" w:horzAnchor="page" w:tblpXSpec="center" w:tblpY="298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620"/>
        <w:gridCol w:w="111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12" w:type="dxa"/>
          </w:tcPr>
          <w:p>
            <w:pPr>
              <w:snapToGrid w:val="0"/>
              <w:spacing w:before="156" w:beforeLines="50" w:after="156" w:afterLines="50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总评构成（1+X）</w:t>
            </w:r>
          </w:p>
        </w:tc>
        <w:tc>
          <w:tcPr>
            <w:tcW w:w="36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11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  <w:tc>
          <w:tcPr>
            <w:tcW w:w="1952" w:type="dxa"/>
          </w:tcPr>
          <w:p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评测的毕业要求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（指标点编号）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1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小组项目报告：某产品营销策略分析报告（含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调查问卷、统计数据、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STP及4Ps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分析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7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195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eastAsia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412/LO511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1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平时成绩（出勤、平时练习）</w:t>
            </w:r>
          </w:p>
        </w:tc>
        <w:tc>
          <w:tcPr>
            <w:tcW w:w="1117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1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eastAsia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网络作业</w:t>
            </w:r>
          </w:p>
        </w:tc>
        <w:tc>
          <w:tcPr>
            <w:tcW w:w="1117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eastAsia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412/LO212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1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eastAsiaTheme="minorEastAsia"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小组PPT展示：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绿色营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案例分析</w:t>
            </w:r>
          </w:p>
        </w:tc>
        <w:tc>
          <w:tcPr>
            <w:tcW w:w="1117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2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eastAsia="宋体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112</w:t>
            </w:r>
          </w:p>
        </w:tc>
      </w:tr>
    </w:tbl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right="2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vAlign w:val="top"/>
          </w:tcPr>
          <w:p>
            <w:pPr>
              <w:snapToGrid w:val="0"/>
              <w:spacing w:before="120" w:after="120" w:line="288" w:lineRule="auto"/>
              <w:rPr>
                <w:rFonts w:hint="eastAsia" w:ascii="宋体" w:hAnsi="宋体" w:eastAsia="宋体"/>
                <w:color w:val="000000" w:themeColor="text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撰写人：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position w:val="-2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162050" cy="378460"/>
                  <wp:effectExtent l="0" t="0" r="0" b="1905"/>
                  <wp:docPr id="4" name="图片 4" descr="吴晓惠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吴晓惠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  <w:vAlign w:val="top"/>
          </w:tcPr>
          <w:p>
            <w:pPr>
              <w:snapToGrid w:val="0"/>
              <w:spacing w:before="120" w:after="120" w:line="288" w:lineRule="auto"/>
              <w:rPr>
                <w:rFonts w:ascii="宋体" w:hAns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系主任审核：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vAlign w:val="top"/>
          </w:tcPr>
          <w:p>
            <w:pPr>
              <w:snapToGrid w:val="0"/>
              <w:spacing w:before="120" w:after="120" w:line="288" w:lineRule="auto"/>
              <w:rPr>
                <w:rFonts w:hint="default" w:ascii="宋体" w:hAnsi="宋体" w:eastAsia="宋体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2020年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shd w:val="clear" w:color="auto" w:fill="auto"/>
            <w:vAlign w:val="top"/>
          </w:tcPr>
          <w:p>
            <w:pPr>
              <w:snapToGrid w:val="0"/>
              <w:spacing w:before="120" w:after="120" w:line="288" w:lineRule="auto"/>
              <w:rPr>
                <w:rFonts w:hint="default" w:ascii="宋体" w:hAnsi="宋体" w:eastAsia="宋体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2020年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13A66"/>
    <w:multiLevelType w:val="singleLevel"/>
    <w:tmpl w:val="C1013A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3D"/>
    <w:rsid w:val="00110A62"/>
    <w:rsid w:val="001B7B6F"/>
    <w:rsid w:val="0046210D"/>
    <w:rsid w:val="0087283F"/>
    <w:rsid w:val="00AD1AAD"/>
    <w:rsid w:val="00CA5A3D"/>
    <w:rsid w:val="00E45432"/>
    <w:rsid w:val="011B42EC"/>
    <w:rsid w:val="019B3C8B"/>
    <w:rsid w:val="0C2E3C6F"/>
    <w:rsid w:val="113602E5"/>
    <w:rsid w:val="12004BF6"/>
    <w:rsid w:val="225401DE"/>
    <w:rsid w:val="22995984"/>
    <w:rsid w:val="2CC057A7"/>
    <w:rsid w:val="349435CE"/>
    <w:rsid w:val="36143177"/>
    <w:rsid w:val="380E1B18"/>
    <w:rsid w:val="3E1E26EA"/>
    <w:rsid w:val="458C4C40"/>
    <w:rsid w:val="4D055C98"/>
    <w:rsid w:val="506A3664"/>
    <w:rsid w:val="61E07BB3"/>
    <w:rsid w:val="62265A0D"/>
    <w:rsid w:val="6AB31D56"/>
    <w:rsid w:val="6F4A51F3"/>
    <w:rsid w:val="77AA2D6C"/>
    <w:rsid w:val="7FD2733E"/>
    <w:rsid w:val="7FF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0"/>
    <w:rPr>
      <w:rFonts w:ascii="Cambria" w:hAnsi="Cambria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710</Words>
  <Characters>4048</Characters>
  <Lines>33</Lines>
  <Paragraphs>9</Paragraphs>
  <TotalTime>0</TotalTime>
  <ScaleCrop>false</ScaleCrop>
  <LinksUpToDate>false</LinksUpToDate>
  <CharactersWithSpaces>4749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2019-01-14T03:54:00Z</dcterms:created>
  <dc:creator>shengjiao zhang</dc:creator>
  <cp:lastModifiedBy>美美</cp:lastModifiedBy>
  <cp:lastPrinted>2019-10-31T02:13:00Z</cp:lastPrinted>
  <dcterms:modified xsi:type="dcterms:W3CDTF">2020-09-11T07:40:23Z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